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2C6CA">
      <w:pPr>
        <w:pStyle w:val="18"/>
        <w:rPr>
          <w:rFonts w:cstheme="minorHAnsi"/>
          <w:color w:val="A5A5A5" w:themeColor="accent3"/>
          <w:sz w:val="32"/>
          <w:szCs w:val="32"/>
          <w14:textFill>
            <w14:solidFill>
              <w14:schemeClr w14:val="accent3"/>
            </w14:solidFill>
          </w14:textFill>
        </w:rPr>
      </w:pPr>
      <w:r>
        <w:rPr>
          <w:rFonts w:cstheme="minorHAnsi"/>
          <w:color w:val="A5A5A5" w:themeColor="accent3"/>
          <w:sz w:val="32"/>
          <w:szCs w:val="32"/>
          <w14:textFill>
            <w14:solidFill>
              <w14:schemeClr w14:val="accent3"/>
            </w14:solidFill>
          </w14:textFill>
        </w:rPr>
        <w:drawing>
          <wp:inline distT="0" distB="0" distL="0" distR="0">
            <wp:extent cx="654050" cy="830580"/>
            <wp:effectExtent l="0" t="0" r="0" b="7620"/>
            <wp:docPr id="586638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38331"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68135" cy="848630"/>
                    </a:xfrm>
                    <a:prstGeom prst="rect">
                      <a:avLst/>
                    </a:prstGeom>
                    <a:noFill/>
                  </pic:spPr>
                </pic:pic>
              </a:graphicData>
            </a:graphic>
          </wp:inline>
        </w:drawing>
      </w:r>
      <w:r>
        <w:rPr>
          <w:rFonts w:eastAsia="宋体" w:cstheme="minorHAnsi"/>
          <w:color w:val="2B579A"/>
          <w:sz w:val="20"/>
          <w:szCs w:val="24"/>
          <w:shd w:val="clear" w:color="auto" w:fill="E6E6E6"/>
        </w:rPr>
        <w:drawing>
          <wp:anchor distT="0" distB="0" distL="114300" distR="114300" simplePos="0" relativeHeight="251659264" behindDoc="0" locked="0" layoutInCell="1" allowOverlap="1">
            <wp:simplePos x="0" y="0"/>
            <wp:positionH relativeFrom="margin">
              <wp:posOffset>5185410</wp:posOffset>
            </wp:positionH>
            <wp:positionV relativeFrom="paragraph">
              <wp:posOffset>-456565</wp:posOffset>
            </wp:positionV>
            <wp:extent cx="958215" cy="1459865"/>
            <wp:effectExtent l="0" t="0" r="0" b="0"/>
            <wp:wrapNone/>
            <wp:docPr id="4" name="Picture 4"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creenshot, graphics, design, font&#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p>
    <w:p w14:paraId="1D126456">
      <w:pPr>
        <w:rPr>
          <w:rFonts w:cstheme="minorHAnsi"/>
        </w:rPr>
      </w:pPr>
      <w:r>
        <w:rPr>
          <w:rFonts w:cstheme="minorHAnsi"/>
        </w:rPr>
        <w:t xml:space="preserve">                                                                                                                     </w:t>
      </w:r>
    </w:p>
    <w:p w14:paraId="7FF2A9A0">
      <w:pPr>
        <w:rPr>
          <w:rFonts w:cstheme="minorHAnsi"/>
        </w:rPr>
      </w:pPr>
    </w:p>
    <w:p w14:paraId="70AEC950">
      <w:pPr>
        <w:rPr>
          <w:rFonts w:cstheme="minorHAnsi"/>
          <w:sz w:val="48"/>
          <w:szCs w:val="48"/>
        </w:rPr>
      </w:pPr>
    </w:p>
    <w:p w14:paraId="5F9566DD">
      <w:pPr>
        <w:rPr>
          <w:rFonts w:cstheme="minorHAnsi"/>
          <w:sz w:val="48"/>
          <w:szCs w:val="48"/>
        </w:rPr>
      </w:pPr>
      <w:r>
        <w:rPr>
          <w:rFonts w:cstheme="minorHAnsi"/>
          <w:sz w:val="48"/>
          <w:szCs w:val="48"/>
        </w:rPr>
        <w:t>Initiation Plan / GEF PPG</w:t>
      </w:r>
    </w:p>
    <w:p w14:paraId="3FBCD078">
      <w:pPr>
        <w:rPr>
          <w:rFonts w:cstheme="minorHAnsi"/>
        </w:r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2412"/>
        <w:gridCol w:w="2700"/>
        <w:gridCol w:w="1975"/>
      </w:tblGrid>
      <w:tr w14:paraId="016D2302">
        <w:trPr>
          <w:trHeight w:val="2776" w:hRule="atLeast"/>
        </w:trPr>
        <w:tc>
          <w:tcPr>
            <w:tcW w:w="9350" w:type="dxa"/>
            <w:gridSpan w:val="4"/>
            <w:tcBorders>
              <w:bottom w:val="nil"/>
            </w:tcBorders>
          </w:tcPr>
          <w:p w14:paraId="49967060">
            <w:pPr>
              <w:rPr>
                <w:rFonts w:cstheme="minorHAnsi"/>
                <w:b/>
              </w:rPr>
            </w:pPr>
            <w:r>
              <w:rPr>
                <w:rFonts w:cstheme="minorHAnsi"/>
                <w:b/>
              </w:rPr>
              <w:t xml:space="preserve">Project Title:  </w:t>
            </w:r>
          </w:p>
          <w:p w14:paraId="2B61DD95">
            <w:pPr>
              <w:rPr>
                <w:rFonts w:cstheme="minorHAnsi"/>
                <w:bCs/>
              </w:rPr>
            </w:pPr>
            <w:r>
              <w:rPr>
                <w:rFonts w:cstheme="minorHAnsi"/>
                <w:bCs/>
              </w:rPr>
              <w:t>(9715) Conserving Biodiversity and Natural Resources through Spatial Planning and Integrated Landscape Management</w:t>
            </w:r>
          </w:p>
          <w:p w14:paraId="647E5446">
            <w:pPr>
              <w:rPr>
                <w:rFonts w:cstheme="minorHAnsi"/>
                <w:b/>
              </w:rPr>
            </w:pPr>
          </w:p>
          <w:p w14:paraId="5D73F5A4">
            <w:pPr>
              <w:rPr>
                <w:rFonts w:cstheme="minorHAnsi"/>
                <w:b/>
              </w:rPr>
            </w:pPr>
            <w:r>
              <w:rPr>
                <w:rFonts w:cstheme="minorHAnsi"/>
                <w:b/>
              </w:rPr>
              <w:t xml:space="preserve">Country:  </w:t>
            </w:r>
          </w:p>
          <w:p w14:paraId="44A38A37">
            <w:pPr>
              <w:rPr>
                <w:rFonts w:cstheme="minorHAnsi"/>
                <w:b/>
              </w:rPr>
            </w:pPr>
            <w:r>
              <w:rPr>
                <w:rFonts w:cstheme="minorHAnsi"/>
                <w:b/>
              </w:rPr>
              <w:t>China</w:t>
            </w:r>
          </w:p>
          <w:p w14:paraId="50FA4090">
            <w:pPr>
              <w:rPr>
                <w:rFonts w:cstheme="minorHAnsi"/>
                <w:b/>
              </w:rPr>
            </w:pPr>
          </w:p>
          <w:p w14:paraId="2B8BB353">
            <w:pPr>
              <w:rPr>
                <w:rFonts w:cstheme="minorHAnsi"/>
                <w:b/>
              </w:rPr>
            </w:pPr>
            <w:r>
              <w:rPr>
                <w:rFonts w:cstheme="minorHAnsi"/>
                <w:b/>
              </w:rPr>
              <w:t>Country Programme Outcome:</w:t>
            </w:r>
          </w:p>
          <w:p w14:paraId="296B36EB">
            <w:pPr>
              <w:rPr>
                <w:rFonts w:cstheme="minorHAnsi"/>
                <w:b/>
              </w:rPr>
            </w:pPr>
            <w:r>
              <w:rPr>
                <w:rFonts w:cstheme="minorHAnsi"/>
                <w:b/>
              </w:rPr>
              <w:t>United Nations Sustainable Development Cooperation Framework for the People’s Republic of China (2021-2025):</w:t>
            </w:r>
          </w:p>
          <w:p w14:paraId="11269EF4">
            <w:pPr>
              <w:rPr>
                <w:rFonts w:cstheme="minorHAnsi"/>
                <w:bCs/>
              </w:rPr>
            </w:pPr>
            <w:r>
              <w:rPr>
                <w:rFonts w:cstheme="minorHAnsi"/>
                <w:bCs/>
              </w:rPr>
              <w:t>People in China and the region benefit from a healthier and more resilient environment (Outcome 3).</w:t>
            </w:r>
          </w:p>
          <w:p w14:paraId="14DD1B4D">
            <w:pPr>
              <w:rPr>
                <w:rFonts w:cstheme="minorHAnsi"/>
                <w:b/>
              </w:rPr>
            </w:pPr>
          </w:p>
        </w:tc>
      </w:tr>
      <w:tr w14:paraId="6273D28E">
        <w:trPr>
          <w:trHeight w:val="2058" w:hRule="atLeast"/>
        </w:trPr>
        <w:tc>
          <w:tcPr>
            <w:tcW w:w="2263" w:type="dxa"/>
            <w:tcBorders>
              <w:top w:val="nil"/>
              <w:bottom w:val="nil"/>
              <w:right w:val="nil"/>
            </w:tcBorders>
          </w:tcPr>
          <w:p w14:paraId="3C4D7B2A">
            <w:pPr>
              <w:rPr>
                <w:rFonts w:cstheme="minorHAnsi"/>
                <w:b/>
              </w:rPr>
            </w:pPr>
            <w:r>
              <w:rPr>
                <w:rFonts w:cstheme="minorHAnsi"/>
                <w:b/>
              </w:rPr>
              <w:t xml:space="preserve">Expected Output(s): </w:t>
            </w:r>
          </w:p>
        </w:tc>
        <w:tc>
          <w:tcPr>
            <w:tcW w:w="7087" w:type="dxa"/>
            <w:gridSpan w:val="3"/>
            <w:tcBorders>
              <w:top w:val="nil"/>
              <w:left w:val="nil"/>
              <w:bottom w:val="nil"/>
            </w:tcBorders>
          </w:tcPr>
          <w:p w14:paraId="347C216E">
            <w:pPr>
              <w:rPr>
                <w:rFonts w:cstheme="minorHAnsi"/>
                <w:bCs/>
              </w:rPr>
            </w:pPr>
            <w:r>
              <w:rPr>
                <w:rFonts w:cstheme="minorHAnsi"/>
                <w:bCs/>
              </w:rPr>
              <w:t>UN analytical inputs and technical assistance have helped to strengthen China’s resources and capacity for developing, implementing and enforcing biodiversity conservation policies and investments at national and local levels.</w:t>
            </w:r>
          </w:p>
          <w:p w14:paraId="36F10095">
            <w:pPr>
              <w:rPr>
                <w:rFonts w:cstheme="minorHAnsi"/>
                <w:bCs/>
              </w:rPr>
            </w:pPr>
            <w:r>
              <w:rPr>
                <w:rFonts w:cstheme="minorHAnsi"/>
                <w:bCs/>
              </w:rPr>
              <w:t>With UN analytical inputs and technical assistance, China develops and adopts innovative technologies, approaches, and gender-responsive practices in support of climate and disaster resilience and biodiversity conservation, including for left- behind groups.</w:t>
            </w:r>
          </w:p>
          <w:p w14:paraId="57BC00B4">
            <w:pPr>
              <w:rPr>
                <w:rFonts w:cstheme="minorHAnsi"/>
                <w:bCs/>
              </w:rPr>
            </w:pPr>
          </w:p>
        </w:tc>
      </w:tr>
      <w:tr w14:paraId="7F68A1ED">
        <w:trPr>
          <w:trHeight w:val="2373" w:hRule="atLeast"/>
        </w:trPr>
        <w:tc>
          <w:tcPr>
            <w:tcW w:w="9350" w:type="dxa"/>
            <w:gridSpan w:val="4"/>
            <w:tcBorders>
              <w:top w:val="nil"/>
            </w:tcBorders>
          </w:tcPr>
          <w:p w14:paraId="6EEAFB37">
            <w:pPr>
              <w:rPr>
                <w:rFonts w:cstheme="minorHAnsi"/>
                <w:b/>
              </w:rPr>
            </w:pPr>
            <w:r>
              <w:rPr>
                <w:rFonts w:cstheme="minorHAnsi"/>
                <w:b/>
              </w:rPr>
              <w:t>UNDP Strategic Plan Output: UNDP Strategic Plan 2022‐2025 – Directions of Change: Accelerating structural transformations for Sustainable Development</w:t>
            </w:r>
          </w:p>
          <w:p w14:paraId="7709506A">
            <w:pPr>
              <w:rPr>
                <w:rFonts w:cstheme="minorHAnsi"/>
                <w:b/>
              </w:rPr>
            </w:pPr>
            <w:r>
              <w:rPr>
                <w:rFonts w:cstheme="minorHAnsi"/>
                <w:b/>
              </w:rPr>
              <w:t xml:space="preserve">Signature solution – Environment: </w:t>
            </w:r>
            <w:r>
              <w:rPr>
                <w:rFonts w:cstheme="minorHAnsi"/>
                <w:bCs/>
              </w:rPr>
              <w:t>Putting nature and the environment at the heart of national economies and planning; helping governments protect, manage and value their natural assets.</w:t>
            </w:r>
          </w:p>
          <w:p w14:paraId="6D9A0F2B">
            <w:pPr>
              <w:rPr>
                <w:rFonts w:cstheme="minorHAnsi"/>
                <w:b/>
              </w:rPr>
            </w:pPr>
          </w:p>
          <w:p w14:paraId="2085EA6D">
            <w:pPr>
              <w:rPr>
                <w:rFonts w:cstheme="minorHAnsi"/>
                <w:i/>
              </w:rPr>
            </w:pPr>
            <w:r>
              <w:rPr>
                <w:rFonts w:cstheme="minorHAnsi"/>
                <w:b/>
              </w:rPr>
              <w:t xml:space="preserve">Gender Marker rating: </w:t>
            </w:r>
            <w:r>
              <w:rPr>
                <w:rFonts w:cstheme="minorHAnsi"/>
                <w:i/>
                <w:shd w:val="clear" w:color="auto" w:fill="D9E2F3" w:themeFill="accent1" w:themeFillTint="33"/>
              </w:rPr>
              <w:t>GEN2</w:t>
            </w:r>
          </w:p>
          <w:p w14:paraId="4C7F2333">
            <w:pPr>
              <w:rPr>
                <w:rFonts w:cstheme="minorHAnsi"/>
                <w:i/>
              </w:rPr>
            </w:pPr>
          </w:p>
          <w:p w14:paraId="44763FEE">
            <w:pPr>
              <w:rPr>
                <w:rFonts w:cstheme="minorHAnsi"/>
                <w:i/>
              </w:rPr>
            </w:pPr>
            <w:r>
              <w:rPr>
                <w:rFonts w:cstheme="minorHAnsi"/>
                <w:b/>
              </w:rPr>
              <w:t>SES Pre-Screening Categorization:</w:t>
            </w:r>
            <w:r>
              <w:rPr>
                <w:rFonts w:cstheme="minorHAnsi"/>
                <w:i/>
              </w:rPr>
              <w:t xml:space="preserve"> </w:t>
            </w:r>
            <w:r>
              <w:rPr>
                <w:rFonts w:cstheme="minorHAnsi"/>
                <w:i/>
                <w:shd w:val="clear" w:color="auto" w:fill="D9E2F3" w:themeFill="accent1" w:themeFillTint="33"/>
              </w:rPr>
              <w:t>Moderate</w:t>
            </w:r>
          </w:p>
          <w:p w14:paraId="05433C30">
            <w:pPr>
              <w:rPr>
                <w:rFonts w:cstheme="minorHAnsi"/>
                <w:b/>
              </w:rPr>
            </w:pPr>
          </w:p>
        </w:tc>
      </w:tr>
      <w:tr w14:paraId="63C205AC">
        <w:tc>
          <w:tcPr>
            <w:tcW w:w="4675" w:type="dxa"/>
            <w:gridSpan w:val="2"/>
          </w:tcPr>
          <w:p w14:paraId="52E4A285">
            <w:pPr>
              <w:rPr>
                <w:rFonts w:cstheme="minorHAnsi"/>
              </w:rPr>
            </w:pPr>
          </w:p>
          <w:p w14:paraId="283BBB42">
            <w:r>
              <w:t>Quantum Project ID: 01003701</w:t>
            </w:r>
          </w:p>
          <w:p w14:paraId="168BAA59">
            <w:pPr>
              <w:rPr>
                <w:rFonts w:cstheme="minorHAnsi"/>
              </w:rPr>
            </w:pPr>
            <w:r>
              <w:rPr>
                <w:rFonts w:cstheme="minorHAnsi"/>
              </w:rPr>
              <w:t>/</w:t>
            </w:r>
          </w:p>
          <w:p w14:paraId="0712C3DF">
            <w:pPr>
              <w:rPr>
                <w:rFonts w:cstheme="minorHAnsi"/>
              </w:rPr>
            </w:pPr>
            <w:r>
              <w:rPr>
                <w:rFonts w:cstheme="minorHAnsi"/>
              </w:rPr>
              <w:t xml:space="preserve">Quantum Award ID: </w:t>
            </w:r>
            <w:r>
              <w:t>1376328</w:t>
            </w:r>
          </w:p>
          <w:p w14:paraId="75F0E394">
            <w:pPr>
              <w:rPr>
                <w:rFonts w:cstheme="minorHAnsi"/>
              </w:rPr>
            </w:pPr>
            <w:r>
              <w:rPr>
                <w:rFonts w:cstheme="minorHAnsi"/>
              </w:rPr>
              <w:t>/</w:t>
            </w:r>
          </w:p>
          <w:p w14:paraId="35578CFE">
            <w:pPr>
              <w:rPr>
                <w:rFonts w:cstheme="minorHAnsi"/>
              </w:rPr>
            </w:pPr>
            <w:r>
              <w:rPr>
                <w:rFonts w:cstheme="minorHAnsi"/>
              </w:rPr>
              <w:t xml:space="preserve">PIMS number: </w:t>
            </w:r>
          </w:p>
          <w:p w14:paraId="7AC8B939">
            <w:pPr>
              <w:rPr>
                <w:rFonts w:cstheme="minorHAnsi"/>
              </w:rPr>
            </w:pPr>
            <w:r>
              <w:rPr>
                <w:rFonts w:cstheme="minorHAnsi"/>
              </w:rPr>
              <w:t>9715</w:t>
            </w:r>
          </w:p>
          <w:p w14:paraId="0176AE75">
            <w:pPr>
              <w:rPr>
                <w:rFonts w:cstheme="minorHAnsi"/>
              </w:rPr>
            </w:pPr>
            <w:r>
              <w:rPr>
                <w:rFonts w:cstheme="minorHAnsi"/>
              </w:rPr>
              <w:t xml:space="preserve">Management Arrangement: </w:t>
            </w:r>
            <w:r>
              <w:rPr>
                <w:rFonts w:cstheme="minorHAnsi"/>
                <w:i/>
              </w:rPr>
              <w:t xml:space="preserve">DIM </w:t>
            </w:r>
          </w:p>
        </w:tc>
        <w:tc>
          <w:tcPr>
            <w:tcW w:w="2700" w:type="dxa"/>
            <w:tcBorders>
              <w:right w:val="nil"/>
            </w:tcBorders>
          </w:tcPr>
          <w:p w14:paraId="410F5D99">
            <w:pPr>
              <w:rPr>
                <w:rFonts w:cstheme="minorHAnsi"/>
                <w:b/>
                <w:bCs/>
              </w:rPr>
            </w:pPr>
            <w:r>
              <w:rPr>
                <w:rFonts w:cstheme="minorHAnsi"/>
                <w:b/>
                <w:bCs/>
              </w:rPr>
              <w:t>Total budget:</w:t>
            </w:r>
          </w:p>
          <w:p w14:paraId="05869F0A">
            <w:pPr>
              <w:rPr>
                <w:rFonts w:cstheme="minorHAnsi"/>
              </w:rPr>
            </w:pPr>
          </w:p>
          <w:p w14:paraId="188FE328">
            <w:pPr>
              <w:rPr>
                <w:rFonts w:cstheme="minorHAnsi"/>
              </w:rPr>
            </w:pPr>
          </w:p>
          <w:p w14:paraId="630A2290">
            <w:pPr>
              <w:rPr>
                <w:rFonts w:cstheme="minorHAnsi"/>
              </w:rPr>
            </w:pPr>
            <w:r>
              <w:rPr>
                <w:rFonts w:cstheme="minorHAnsi"/>
              </w:rPr>
              <w:t>Allocated resources:</w:t>
            </w:r>
          </w:p>
          <w:p w14:paraId="16DCCE86">
            <w:pPr>
              <w:pStyle w:val="56"/>
              <w:numPr>
                <w:ilvl w:val="0"/>
                <w:numId w:val="3"/>
              </w:numPr>
              <w:rPr>
                <w:rFonts w:cstheme="minorHAnsi"/>
              </w:rPr>
            </w:pPr>
            <w:r>
              <w:rPr>
                <w:rFonts w:cstheme="minorHAnsi"/>
              </w:rPr>
              <w:t>GEF</w:t>
            </w:r>
          </w:p>
          <w:p w14:paraId="2FEBA6D9">
            <w:pPr>
              <w:pStyle w:val="56"/>
              <w:rPr>
                <w:rFonts w:cstheme="minorHAnsi"/>
              </w:rPr>
            </w:pPr>
          </w:p>
          <w:p w14:paraId="7E6CA733">
            <w:pPr>
              <w:pStyle w:val="56"/>
              <w:numPr>
                <w:ilvl w:val="0"/>
                <w:numId w:val="3"/>
              </w:numPr>
              <w:rPr>
                <w:rFonts w:cstheme="minorHAnsi"/>
              </w:rPr>
            </w:pPr>
            <w:r>
              <w:rPr>
                <w:rFonts w:cstheme="minorHAnsi"/>
              </w:rPr>
              <w:t>Government</w:t>
            </w:r>
          </w:p>
          <w:p w14:paraId="29573D99">
            <w:pPr>
              <w:pStyle w:val="56"/>
              <w:rPr>
                <w:rFonts w:cstheme="minorHAnsi"/>
              </w:rPr>
            </w:pPr>
          </w:p>
          <w:p w14:paraId="12E2E9FB">
            <w:pPr>
              <w:pStyle w:val="56"/>
              <w:numPr>
                <w:ilvl w:val="0"/>
                <w:numId w:val="3"/>
              </w:numPr>
              <w:rPr>
                <w:rFonts w:cstheme="minorHAnsi"/>
              </w:rPr>
            </w:pPr>
            <w:r>
              <w:rPr>
                <w:rFonts w:cstheme="minorHAnsi"/>
              </w:rPr>
              <w:t>UNDP</w:t>
            </w:r>
          </w:p>
        </w:tc>
        <w:tc>
          <w:tcPr>
            <w:tcW w:w="1975" w:type="dxa"/>
            <w:tcBorders>
              <w:left w:val="nil"/>
            </w:tcBorders>
          </w:tcPr>
          <w:p w14:paraId="2636FC08">
            <w:pPr>
              <w:rPr>
                <w:rFonts w:cstheme="minorHAnsi"/>
                <w:b/>
              </w:rPr>
            </w:pPr>
            <w:r>
              <w:rPr>
                <w:rFonts w:cstheme="minorHAnsi"/>
                <w:b/>
              </w:rPr>
              <w:t>US$150,000</w:t>
            </w:r>
          </w:p>
          <w:p w14:paraId="266F7B13">
            <w:pPr>
              <w:rPr>
                <w:rFonts w:cstheme="minorHAnsi"/>
                <w:b/>
              </w:rPr>
            </w:pPr>
          </w:p>
          <w:p w14:paraId="1DD15C46">
            <w:pPr>
              <w:rPr>
                <w:rFonts w:cstheme="minorHAnsi"/>
                <w:b/>
              </w:rPr>
            </w:pPr>
          </w:p>
          <w:p w14:paraId="03CDB124">
            <w:pPr>
              <w:rPr>
                <w:rFonts w:cstheme="minorHAnsi"/>
                <w:b/>
              </w:rPr>
            </w:pPr>
            <w:r>
              <w:rPr>
                <w:rFonts w:cstheme="minorHAnsi"/>
              </w:rPr>
              <w:t>US$150,000</w:t>
            </w:r>
          </w:p>
          <w:p w14:paraId="05115F0A">
            <w:pPr>
              <w:rPr>
                <w:rFonts w:cstheme="minorHAnsi"/>
              </w:rPr>
            </w:pPr>
          </w:p>
          <w:p w14:paraId="0677B583">
            <w:pPr>
              <w:rPr>
                <w:rFonts w:cstheme="minorHAnsi"/>
              </w:rPr>
            </w:pPr>
          </w:p>
          <w:p w14:paraId="397B22E1">
            <w:pPr>
              <w:rPr>
                <w:rFonts w:cstheme="minorHAnsi"/>
              </w:rPr>
            </w:pPr>
          </w:p>
          <w:p w14:paraId="43F5E5BC">
            <w:pPr>
              <w:rPr>
                <w:rFonts w:cstheme="minorHAnsi"/>
                <w:i/>
                <w:iCs/>
              </w:rPr>
            </w:pPr>
          </w:p>
          <w:p w14:paraId="4B7B2886">
            <w:pPr>
              <w:rPr>
                <w:rFonts w:cstheme="minorHAnsi"/>
              </w:rPr>
            </w:pPr>
          </w:p>
          <w:p w14:paraId="4ECE849B">
            <w:pPr>
              <w:rPr>
                <w:rFonts w:cstheme="minorHAnsi"/>
              </w:rPr>
            </w:pPr>
          </w:p>
        </w:tc>
      </w:tr>
    </w:tbl>
    <w:p w14:paraId="25608FBF">
      <w:pPr>
        <w:rPr>
          <w:rFonts w:cstheme="minorHAnsi"/>
        </w:rPr>
      </w:pPr>
    </w:p>
    <w:p w14:paraId="04775A52">
      <w:pPr>
        <w:rPr>
          <w:rFonts w:cstheme="minorHAnsi"/>
          <w:smallCaps/>
        </w:rPr>
      </w:pPr>
    </w:p>
    <w:p w14:paraId="71D0BDA6">
      <w:pPr>
        <w:rPr>
          <w:rFonts w:cstheme="minorHAnsi"/>
          <w:smallCaps/>
        </w:rPr>
      </w:pPr>
      <w:r>
        <w:rPr>
          <w:rFonts w:cstheme="minorHAnsi"/>
          <w:smallCaps/>
        </w:rPr>
        <w:t xml:space="preserve">Agreed by </w:t>
      </w:r>
    </w:p>
    <w:p w14:paraId="70087C8B">
      <w:pPr>
        <w:rPr>
          <w:rFonts w:cstheme="minorHAnsi"/>
          <w:smallCaps/>
        </w:rPr>
      </w:pPr>
    </w:p>
    <w:tbl>
      <w:tblPr>
        <w:tblStyle w:val="25"/>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3685"/>
        <w:gridCol w:w="3780"/>
        <w:gridCol w:w="1885"/>
      </w:tblGrid>
      <w:tr w14:paraId="220D5F4B">
        <w:tc>
          <w:tcPr>
            <w:tcW w:w="3685" w:type="dxa"/>
          </w:tcPr>
          <w:p w14:paraId="109EC86D">
            <w:pPr>
              <w:rPr>
                <w:rFonts w:cstheme="minorHAnsi"/>
              </w:rPr>
            </w:pPr>
          </w:p>
        </w:tc>
        <w:tc>
          <w:tcPr>
            <w:tcW w:w="3780" w:type="dxa"/>
          </w:tcPr>
          <w:p w14:paraId="367BAEAD">
            <w:pPr>
              <w:rPr>
                <w:rFonts w:cstheme="minorHAnsi"/>
              </w:rPr>
            </w:pPr>
          </w:p>
        </w:tc>
        <w:tc>
          <w:tcPr>
            <w:tcW w:w="1885" w:type="dxa"/>
          </w:tcPr>
          <w:p w14:paraId="41E8FBB6">
            <w:pPr>
              <w:rPr>
                <w:rFonts w:cstheme="minorHAnsi"/>
                <w:i/>
              </w:rPr>
            </w:pPr>
            <w:r>
              <w:rPr>
                <w:rFonts w:cstheme="minorHAnsi"/>
                <w:i/>
              </w:rPr>
              <w:t>Day/Month/Year</w:t>
            </w:r>
          </w:p>
        </w:tc>
      </w:tr>
      <w:tr w14:paraId="3E109E1B">
        <w:tc>
          <w:tcPr>
            <w:tcW w:w="3685" w:type="dxa"/>
          </w:tcPr>
          <w:p w14:paraId="760D827B">
            <w:pPr>
              <w:rPr>
                <w:rFonts w:cstheme="minorHAnsi"/>
              </w:rPr>
            </w:pPr>
            <w:r>
              <w:rPr>
                <w:rFonts w:cstheme="minorHAnsi"/>
              </w:rPr>
              <w:t>UNDP Resident Representative</w:t>
            </w:r>
            <w:r>
              <w:rPr>
                <w:rStyle w:val="32"/>
                <w:rFonts w:cstheme="minorHAnsi"/>
              </w:rPr>
              <w:footnoteReference w:id="0"/>
            </w:r>
          </w:p>
        </w:tc>
        <w:tc>
          <w:tcPr>
            <w:tcW w:w="3780" w:type="dxa"/>
          </w:tcPr>
          <w:p w14:paraId="7F539866">
            <w:pPr>
              <w:rPr>
                <w:rFonts w:cstheme="minorHAnsi"/>
              </w:rPr>
            </w:pPr>
            <w:r>
              <w:rPr>
                <w:rFonts w:cstheme="minorHAnsi"/>
              </w:rPr>
              <w:t>Signature</w:t>
            </w:r>
          </w:p>
        </w:tc>
        <w:tc>
          <w:tcPr>
            <w:tcW w:w="1885" w:type="dxa"/>
          </w:tcPr>
          <w:p w14:paraId="450A7AAA">
            <w:pPr>
              <w:rPr>
                <w:rFonts w:cstheme="minorHAnsi"/>
              </w:rPr>
            </w:pPr>
            <w:r>
              <w:rPr>
                <w:rFonts w:cstheme="minorHAnsi"/>
              </w:rPr>
              <w:t xml:space="preserve">Date </w:t>
            </w:r>
          </w:p>
        </w:tc>
      </w:tr>
    </w:tbl>
    <w:p w14:paraId="1E8E3D30">
      <w:pPr>
        <w:rPr>
          <w:rFonts w:cstheme="minorHAnsi"/>
        </w:rPr>
        <w:sectPr>
          <w:footerReference r:id="rId5" w:type="default"/>
          <w:pgSz w:w="12240" w:h="15840"/>
          <w:pgMar w:top="1440" w:right="1440" w:bottom="1440" w:left="1440" w:header="720" w:footer="720" w:gutter="0"/>
          <w:pgNumType w:start="1"/>
          <w:cols w:space="720" w:num="1"/>
          <w:docGrid w:linePitch="360" w:charSpace="0"/>
        </w:sectPr>
      </w:pPr>
    </w:p>
    <w:p w14:paraId="51CE29F0">
      <w:pPr>
        <w:rPr>
          <w:rFonts w:cstheme="minorHAnsi"/>
        </w:rPr>
      </w:pPr>
    </w:p>
    <w:sdt>
      <w:sdtPr>
        <w:rPr>
          <w:rFonts w:asciiTheme="minorHAnsi" w:hAnsiTheme="minorHAnsi" w:eastAsiaTheme="minorEastAsia" w:cstheme="minorBidi"/>
          <w:b w:val="0"/>
          <w:smallCaps w:val="0"/>
          <w:color w:val="auto"/>
          <w:sz w:val="22"/>
          <w:szCs w:val="22"/>
          <w:shd w:val="clear" w:color="auto" w:fill="E6E6E6"/>
        </w:rPr>
        <w:id w:val="1923982688"/>
        <w:docPartObj>
          <w:docPartGallery w:val="Table of Contents"/>
          <w:docPartUnique/>
        </w:docPartObj>
      </w:sdtPr>
      <w:sdtEndPr>
        <w:rPr>
          <w:rFonts w:asciiTheme="minorHAnsi" w:hAnsiTheme="minorHAnsi" w:eastAsiaTheme="minorEastAsia" w:cstheme="minorBidi"/>
          <w:b w:val="0"/>
          <w:smallCaps w:val="0"/>
          <w:color w:val="auto"/>
          <w:sz w:val="22"/>
          <w:szCs w:val="22"/>
          <w:shd w:val="clear" w:color="auto" w:fill="E6E6E6"/>
        </w:rPr>
      </w:sdtEndPr>
      <w:sdtContent>
        <w:p w14:paraId="6D2BAB4F">
          <w:pPr>
            <w:pStyle w:val="55"/>
            <w:rPr>
              <w:rFonts w:asciiTheme="minorHAnsi" w:hAnsiTheme="minorHAnsi" w:cstheme="minorHAnsi"/>
            </w:rPr>
          </w:pPr>
          <w:r>
            <w:rPr>
              <w:rFonts w:asciiTheme="minorHAnsi" w:hAnsiTheme="minorHAnsi" w:cstheme="minorHAnsi"/>
            </w:rPr>
            <w:t>Table of Contents</w:t>
          </w:r>
        </w:p>
        <w:p w14:paraId="3F57EEB5">
          <w:pPr>
            <w:pStyle w:val="17"/>
            <w:rPr>
              <w:rFonts w:cstheme="minorHAnsi"/>
            </w:rPr>
          </w:pPr>
          <w:r>
            <w:rPr>
              <w:rFonts w:cstheme="minorHAnsi"/>
              <w:color w:val="2B579A"/>
              <w:shd w:val="clear" w:color="auto" w:fill="E6E6E6"/>
            </w:rPr>
            <w:fldChar w:fldCharType="begin"/>
          </w:r>
          <w:r>
            <w:rPr>
              <w:rFonts w:cstheme="minorHAnsi"/>
            </w:rPr>
            <w:instrText xml:space="preserve"> TOC \o "1-2" \h \z \u </w:instrText>
          </w:r>
          <w:r>
            <w:rPr>
              <w:rFonts w:cstheme="minorHAnsi"/>
              <w:color w:val="2B579A"/>
              <w:shd w:val="clear" w:color="auto" w:fill="E6E6E6"/>
            </w:rPr>
            <w:fldChar w:fldCharType="separate"/>
          </w:r>
          <w:r>
            <w:fldChar w:fldCharType="begin"/>
          </w:r>
          <w:r>
            <w:instrText xml:space="preserve"> HYPERLINK \l "_Toc8832250" </w:instrText>
          </w:r>
          <w:r>
            <w:fldChar w:fldCharType="separate"/>
          </w:r>
          <w:r>
            <w:rPr>
              <w:rStyle w:val="30"/>
              <w:rFonts w:cstheme="minorHAnsi"/>
            </w:rPr>
            <w:t>I.</w:t>
          </w:r>
          <w:r>
            <w:rPr>
              <w:rFonts w:cstheme="minorHAnsi"/>
            </w:rPr>
            <w:tab/>
          </w:r>
          <w:r>
            <w:rPr>
              <w:rStyle w:val="30"/>
              <w:rFonts w:cstheme="minorHAnsi"/>
            </w:rPr>
            <w:t>Brief Description of the Initiation Plan/GEF PPG</w:t>
          </w:r>
          <w:r>
            <w:rPr>
              <w:rFonts w:cstheme="minorHAnsi"/>
            </w:rPr>
            <w:tab/>
          </w:r>
          <w:r>
            <w:rPr>
              <w:rFonts w:cstheme="minorHAnsi"/>
              <w:color w:val="2B579A"/>
              <w:shd w:val="clear" w:color="auto" w:fill="E6E6E6"/>
            </w:rPr>
            <w:fldChar w:fldCharType="begin"/>
          </w:r>
          <w:r>
            <w:rPr>
              <w:rFonts w:cstheme="minorHAnsi"/>
            </w:rPr>
            <w:instrText xml:space="preserve"> PAGEREF _Toc8832250 \h </w:instrText>
          </w:r>
          <w:r>
            <w:rPr>
              <w:rFonts w:cstheme="minorHAnsi"/>
              <w:color w:val="2B579A"/>
              <w:shd w:val="clear" w:color="auto" w:fill="E6E6E6"/>
            </w:rPr>
            <w:fldChar w:fldCharType="separate"/>
          </w:r>
          <w:r>
            <w:rPr>
              <w:rFonts w:cstheme="minorHAnsi"/>
            </w:rPr>
            <w:t>4</w:t>
          </w:r>
          <w:r>
            <w:rPr>
              <w:rFonts w:cstheme="minorHAnsi"/>
              <w:color w:val="2B579A"/>
              <w:shd w:val="clear" w:color="auto" w:fill="E6E6E6"/>
            </w:rPr>
            <w:fldChar w:fldCharType="end"/>
          </w:r>
          <w:r>
            <w:rPr>
              <w:rFonts w:cstheme="minorHAnsi"/>
              <w:color w:val="2B579A"/>
              <w:shd w:val="clear" w:color="auto" w:fill="E6E6E6"/>
            </w:rPr>
            <w:fldChar w:fldCharType="end"/>
          </w:r>
        </w:p>
        <w:p w14:paraId="2B6D7D15">
          <w:pPr>
            <w:pStyle w:val="17"/>
            <w:rPr>
              <w:rFonts w:cstheme="minorHAnsi"/>
            </w:rPr>
          </w:pPr>
          <w:r>
            <w:fldChar w:fldCharType="begin"/>
          </w:r>
          <w:r>
            <w:instrText xml:space="preserve"> HYPERLINK \l "_Toc8832251" </w:instrText>
          </w:r>
          <w:r>
            <w:fldChar w:fldCharType="separate"/>
          </w:r>
          <w:r>
            <w:rPr>
              <w:rStyle w:val="30"/>
              <w:rFonts w:cstheme="minorHAnsi"/>
            </w:rPr>
            <w:t>II.</w:t>
          </w:r>
          <w:r>
            <w:rPr>
              <w:rFonts w:cstheme="minorHAnsi"/>
            </w:rPr>
            <w:tab/>
          </w:r>
          <w:r>
            <w:rPr>
              <w:rStyle w:val="30"/>
              <w:rFonts w:cstheme="minorHAnsi"/>
            </w:rPr>
            <w:t>Stakeholder Engagement, public disclosure, and other requirements</w:t>
          </w:r>
          <w:r>
            <w:rPr>
              <w:rFonts w:cstheme="minorHAnsi"/>
            </w:rPr>
            <w:tab/>
          </w:r>
          <w:r>
            <w:rPr>
              <w:rFonts w:cstheme="minorHAnsi"/>
              <w:color w:val="2B579A"/>
              <w:shd w:val="clear" w:color="auto" w:fill="E6E6E6"/>
            </w:rPr>
            <w:fldChar w:fldCharType="begin"/>
          </w:r>
          <w:r>
            <w:rPr>
              <w:rFonts w:cstheme="minorHAnsi"/>
            </w:rPr>
            <w:instrText xml:space="preserve"> PAGEREF _Toc8832251 \h </w:instrText>
          </w:r>
          <w:r>
            <w:rPr>
              <w:rFonts w:cstheme="minorHAnsi"/>
              <w:color w:val="2B579A"/>
              <w:shd w:val="clear" w:color="auto" w:fill="E6E6E6"/>
            </w:rPr>
            <w:fldChar w:fldCharType="separate"/>
          </w:r>
          <w:r>
            <w:rPr>
              <w:rFonts w:cstheme="minorHAnsi"/>
            </w:rPr>
            <w:t>5</w:t>
          </w:r>
          <w:r>
            <w:rPr>
              <w:rFonts w:cstheme="minorHAnsi"/>
              <w:color w:val="2B579A"/>
              <w:shd w:val="clear" w:color="auto" w:fill="E6E6E6"/>
            </w:rPr>
            <w:fldChar w:fldCharType="end"/>
          </w:r>
          <w:r>
            <w:rPr>
              <w:rFonts w:cstheme="minorHAnsi"/>
              <w:color w:val="2B579A"/>
              <w:shd w:val="clear" w:color="auto" w:fill="E6E6E6"/>
            </w:rPr>
            <w:fldChar w:fldCharType="end"/>
          </w:r>
        </w:p>
        <w:p w14:paraId="2264549D">
          <w:pPr>
            <w:pStyle w:val="17"/>
            <w:rPr>
              <w:rFonts w:cstheme="minorHAnsi"/>
            </w:rPr>
          </w:pPr>
          <w:r>
            <w:fldChar w:fldCharType="begin"/>
          </w:r>
          <w:r>
            <w:instrText xml:space="preserve"> HYPERLINK \l "_Toc8832252" </w:instrText>
          </w:r>
          <w:r>
            <w:fldChar w:fldCharType="separate"/>
          </w:r>
          <w:r>
            <w:rPr>
              <w:rStyle w:val="30"/>
              <w:rFonts w:cstheme="minorHAnsi"/>
            </w:rPr>
            <w:t>III.</w:t>
          </w:r>
          <w:r>
            <w:rPr>
              <w:rFonts w:cstheme="minorHAnsi"/>
            </w:rPr>
            <w:tab/>
          </w:r>
          <w:r>
            <w:rPr>
              <w:rStyle w:val="30"/>
              <w:rFonts w:cstheme="minorHAnsi"/>
            </w:rPr>
            <w:t>GEF PPG Activities</w:t>
          </w:r>
          <w:r>
            <w:rPr>
              <w:rFonts w:cstheme="minorHAnsi"/>
            </w:rPr>
            <w:tab/>
          </w:r>
          <w:r>
            <w:rPr>
              <w:rFonts w:cstheme="minorHAnsi"/>
              <w:color w:val="2B579A"/>
              <w:shd w:val="clear" w:color="auto" w:fill="E6E6E6"/>
            </w:rPr>
            <w:fldChar w:fldCharType="begin"/>
          </w:r>
          <w:r>
            <w:rPr>
              <w:rFonts w:cstheme="minorHAnsi"/>
            </w:rPr>
            <w:instrText xml:space="preserve"> PAGEREF _Toc8832252 \h </w:instrText>
          </w:r>
          <w:r>
            <w:rPr>
              <w:rFonts w:cstheme="minorHAnsi"/>
              <w:color w:val="2B579A"/>
              <w:shd w:val="clear" w:color="auto" w:fill="E6E6E6"/>
            </w:rPr>
            <w:fldChar w:fldCharType="separate"/>
          </w:r>
          <w:r>
            <w:rPr>
              <w:rFonts w:cstheme="minorHAnsi"/>
            </w:rPr>
            <w:t>6</w:t>
          </w:r>
          <w:r>
            <w:rPr>
              <w:rFonts w:cstheme="minorHAnsi"/>
              <w:color w:val="2B579A"/>
              <w:shd w:val="clear" w:color="auto" w:fill="E6E6E6"/>
            </w:rPr>
            <w:fldChar w:fldCharType="end"/>
          </w:r>
          <w:r>
            <w:rPr>
              <w:rFonts w:cstheme="minorHAnsi"/>
              <w:color w:val="2B579A"/>
              <w:shd w:val="clear" w:color="auto" w:fill="E6E6E6"/>
            </w:rPr>
            <w:fldChar w:fldCharType="end"/>
          </w:r>
        </w:p>
        <w:p w14:paraId="7E0ED789">
          <w:pPr>
            <w:pStyle w:val="20"/>
            <w:tabs>
              <w:tab w:val="right" w:leader="dot" w:pos="9350"/>
            </w:tabs>
            <w:rPr>
              <w:rFonts w:cstheme="minorHAnsi"/>
            </w:rPr>
          </w:pPr>
          <w:r>
            <w:fldChar w:fldCharType="begin"/>
          </w:r>
          <w:r>
            <w:instrText xml:space="preserve"> HYPERLINK \l "_Toc8832253" </w:instrText>
          </w:r>
          <w:r>
            <w:fldChar w:fldCharType="separate"/>
          </w:r>
          <w:r>
            <w:rPr>
              <w:rStyle w:val="30"/>
              <w:rFonts w:cstheme="minorHAnsi"/>
            </w:rPr>
            <w:t>Component A: Preparatory Technical Studies &amp; Reviews</w:t>
          </w:r>
          <w:r>
            <w:rPr>
              <w:rFonts w:cstheme="minorHAnsi"/>
            </w:rPr>
            <w:tab/>
          </w:r>
          <w:r>
            <w:rPr>
              <w:rFonts w:cstheme="minorHAnsi"/>
              <w:color w:val="2B579A"/>
              <w:shd w:val="clear" w:color="auto" w:fill="E6E6E6"/>
            </w:rPr>
            <w:fldChar w:fldCharType="begin"/>
          </w:r>
          <w:r>
            <w:rPr>
              <w:rFonts w:cstheme="minorHAnsi"/>
            </w:rPr>
            <w:instrText xml:space="preserve"> PAGEREF _Toc8832253 \h </w:instrText>
          </w:r>
          <w:r>
            <w:rPr>
              <w:rFonts w:cstheme="minorHAnsi"/>
              <w:color w:val="2B579A"/>
              <w:shd w:val="clear" w:color="auto" w:fill="E6E6E6"/>
            </w:rPr>
            <w:fldChar w:fldCharType="separate"/>
          </w:r>
          <w:r>
            <w:rPr>
              <w:rFonts w:cstheme="minorHAnsi"/>
            </w:rPr>
            <w:t>6</w:t>
          </w:r>
          <w:r>
            <w:rPr>
              <w:rFonts w:cstheme="minorHAnsi"/>
              <w:color w:val="2B579A"/>
              <w:shd w:val="clear" w:color="auto" w:fill="E6E6E6"/>
            </w:rPr>
            <w:fldChar w:fldCharType="end"/>
          </w:r>
          <w:r>
            <w:rPr>
              <w:rFonts w:cstheme="minorHAnsi"/>
              <w:color w:val="2B579A"/>
              <w:shd w:val="clear" w:color="auto" w:fill="E6E6E6"/>
            </w:rPr>
            <w:fldChar w:fldCharType="end"/>
          </w:r>
        </w:p>
        <w:p w14:paraId="1A6F8E12">
          <w:pPr>
            <w:pStyle w:val="20"/>
            <w:tabs>
              <w:tab w:val="right" w:leader="dot" w:pos="9350"/>
            </w:tabs>
            <w:rPr>
              <w:rFonts w:cstheme="minorHAnsi"/>
            </w:rPr>
          </w:pPr>
          <w:r>
            <w:fldChar w:fldCharType="begin"/>
          </w:r>
          <w:r>
            <w:instrText xml:space="preserve"> HYPERLINK \l "_Toc8832254" </w:instrText>
          </w:r>
          <w:r>
            <w:fldChar w:fldCharType="separate"/>
          </w:r>
          <w:r>
            <w:rPr>
              <w:rStyle w:val="30"/>
              <w:rFonts w:cstheme="minorHAnsi"/>
              <w:lang w:eastAsia="ja-JP"/>
            </w:rPr>
            <w:t>Component B: Formulation of the UNDP-GEF Project Document, CEO Endorsement Request, and Mandatory and Project Specific Annexes</w:t>
          </w:r>
          <w:r>
            <w:rPr>
              <w:rFonts w:cstheme="minorHAnsi"/>
            </w:rPr>
            <w:tab/>
          </w:r>
          <w:r>
            <w:rPr>
              <w:rFonts w:cstheme="minorHAnsi"/>
              <w:color w:val="2B579A"/>
              <w:shd w:val="clear" w:color="auto" w:fill="E6E6E6"/>
            </w:rPr>
            <w:fldChar w:fldCharType="begin"/>
          </w:r>
          <w:r>
            <w:rPr>
              <w:rFonts w:cstheme="minorHAnsi"/>
            </w:rPr>
            <w:instrText xml:space="preserve"> PAGEREF _Toc8832254 \h </w:instrText>
          </w:r>
          <w:r>
            <w:rPr>
              <w:rFonts w:cstheme="minorHAnsi"/>
              <w:color w:val="2B579A"/>
              <w:shd w:val="clear" w:color="auto" w:fill="E6E6E6"/>
            </w:rPr>
            <w:fldChar w:fldCharType="separate"/>
          </w:r>
          <w:r>
            <w:rPr>
              <w:rFonts w:cstheme="minorHAnsi"/>
            </w:rPr>
            <w:t>9</w:t>
          </w:r>
          <w:r>
            <w:rPr>
              <w:rFonts w:cstheme="minorHAnsi"/>
              <w:color w:val="2B579A"/>
              <w:shd w:val="clear" w:color="auto" w:fill="E6E6E6"/>
            </w:rPr>
            <w:fldChar w:fldCharType="end"/>
          </w:r>
          <w:r>
            <w:rPr>
              <w:rFonts w:cstheme="minorHAnsi"/>
              <w:color w:val="2B579A"/>
              <w:shd w:val="clear" w:color="auto" w:fill="E6E6E6"/>
            </w:rPr>
            <w:fldChar w:fldCharType="end"/>
          </w:r>
        </w:p>
        <w:p w14:paraId="44AA0036">
          <w:pPr>
            <w:pStyle w:val="20"/>
            <w:tabs>
              <w:tab w:val="right" w:leader="dot" w:pos="9350"/>
            </w:tabs>
            <w:rPr>
              <w:rFonts w:cstheme="minorHAnsi"/>
            </w:rPr>
          </w:pPr>
          <w:r>
            <w:fldChar w:fldCharType="begin"/>
          </w:r>
          <w:r>
            <w:instrText xml:space="preserve"> HYPERLINK \l "_Toc8832255" </w:instrText>
          </w:r>
          <w:r>
            <w:fldChar w:fldCharType="separate"/>
          </w:r>
          <w:r>
            <w:rPr>
              <w:rStyle w:val="30"/>
              <w:rFonts w:cstheme="minorHAnsi"/>
            </w:rPr>
            <w:t>Component C: Validation Workshop and Report</w:t>
          </w:r>
          <w:r>
            <w:rPr>
              <w:rFonts w:cstheme="minorHAnsi"/>
            </w:rPr>
            <w:tab/>
          </w:r>
          <w:r>
            <w:rPr>
              <w:rFonts w:cstheme="minorHAnsi"/>
              <w:color w:val="2B579A"/>
              <w:shd w:val="clear" w:color="auto" w:fill="E6E6E6"/>
            </w:rPr>
            <w:fldChar w:fldCharType="begin"/>
          </w:r>
          <w:r>
            <w:rPr>
              <w:rFonts w:cstheme="minorHAnsi"/>
            </w:rPr>
            <w:instrText xml:space="preserve"> PAGEREF _Toc8832255 \h </w:instrText>
          </w:r>
          <w:r>
            <w:rPr>
              <w:rFonts w:cstheme="minorHAnsi"/>
              <w:color w:val="2B579A"/>
              <w:shd w:val="clear" w:color="auto" w:fill="E6E6E6"/>
            </w:rPr>
            <w:fldChar w:fldCharType="separate"/>
          </w:r>
          <w:r>
            <w:rPr>
              <w:rFonts w:cstheme="minorHAnsi"/>
            </w:rPr>
            <w:t>11</w:t>
          </w:r>
          <w:r>
            <w:rPr>
              <w:rFonts w:cstheme="minorHAnsi"/>
              <w:color w:val="2B579A"/>
              <w:shd w:val="clear" w:color="auto" w:fill="E6E6E6"/>
            </w:rPr>
            <w:fldChar w:fldCharType="end"/>
          </w:r>
          <w:r>
            <w:rPr>
              <w:rFonts w:cstheme="minorHAnsi"/>
              <w:color w:val="2B579A"/>
              <w:shd w:val="clear" w:color="auto" w:fill="E6E6E6"/>
            </w:rPr>
            <w:fldChar w:fldCharType="end"/>
          </w:r>
        </w:p>
        <w:p w14:paraId="48D6EFE2">
          <w:pPr>
            <w:pStyle w:val="17"/>
            <w:rPr>
              <w:rFonts w:cstheme="minorHAnsi"/>
            </w:rPr>
          </w:pPr>
          <w:r>
            <w:fldChar w:fldCharType="begin"/>
          </w:r>
          <w:r>
            <w:instrText xml:space="preserve"> HYPERLINK \l "_Toc8832256" </w:instrText>
          </w:r>
          <w:r>
            <w:fldChar w:fldCharType="separate"/>
          </w:r>
          <w:r>
            <w:rPr>
              <w:rStyle w:val="30"/>
              <w:rFonts w:cstheme="minorHAnsi"/>
              <w:lang w:val="en-GB" w:eastAsia="ja-JP"/>
            </w:rPr>
            <w:t>IV.</w:t>
          </w:r>
          <w:r>
            <w:rPr>
              <w:rFonts w:cstheme="minorHAnsi"/>
            </w:rPr>
            <w:tab/>
          </w:r>
          <w:r>
            <w:rPr>
              <w:rStyle w:val="30"/>
              <w:rFonts w:cstheme="minorHAnsi"/>
              <w:lang w:val="en-GB" w:eastAsia="ja-JP"/>
            </w:rPr>
            <w:t>Total Budget and Work Plan for GEF PPG</w:t>
          </w:r>
          <w:r>
            <w:rPr>
              <w:rFonts w:cstheme="minorHAnsi"/>
            </w:rPr>
            <w:tab/>
          </w:r>
          <w:r>
            <w:rPr>
              <w:rFonts w:cstheme="minorHAnsi"/>
              <w:color w:val="2B579A"/>
              <w:shd w:val="clear" w:color="auto" w:fill="E6E6E6"/>
            </w:rPr>
            <w:fldChar w:fldCharType="begin"/>
          </w:r>
          <w:r>
            <w:rPr>
              <w:rFonts w:cstheme="minorHAnsi"/>
            </w:rPr>
            <w:instrText xml:space="preserve"> PAGEREF _Toc8832256 \h </w:instrText>
          </w:r>
          <w:r>
            <w:rPr>
              <w:rFonts w:cstheme="minorHAnsi"/>
              <w:color w:val="2B579A"/>
              <w:shd w:val="clear" w:color="auto" w:fill="E6E6E6"/>
            </w:rPr>
            <w:fldChar w:fldCharType="separate"/>
          </w:r>
          <w:r>
            <w:rPr>
              <w:rFonts w:cstheme="minorHAnsi"/>
            </w:rPr>
            <w:t>11</w:t>
          </w:r>
          <w:r>
            <w:rPr>
              <w:rFonts w:cstheme="minorHAnsi"/>
              <w:color w:val="2B579A"/>
              <w:shd w:val="clear" w:color="auto" w:fill="E6E6E6"/>
            </w:rPr>
            <w:fldChar w:fldCharType="end"/>
          </w:r>
          <w:r>
            <w:rPr>
              <w:rFonts w:cstheme="minorHAnsi"/>
              <w:color w:val="2B579A"/>
              <w:shd w:val="clear" w:color="auto" w:fill="E6E6E6"/>
            </w:rPr>
            <w:fldChar w:fldCharType="end"/>
          </w:r>
        </w:p>
        <w:p w14:paraId="78BD89E3">
          <w:pPr>
            <w:pStyle w:val="17"/>
            <w:rPr>
              <w:rFonts w:cstheme="minorHAnsi"/>
            </w:rPr>
          </w:pPr>
          <w:r>
            <w:fldChar w:fldCharType="begin"/>
          </w:r>
          <w:r>
            <w:instrText xml:space="preserve"> HYPERLINK \l "_Toc8832257" </w:instrText>
          </w:r>
          <w:r>
            <w:fldChar w:fldCharType="separate"/>
          </w:r>
          <w:r>
            <w:rPr>
              <w:rStyle w:val="30"/>
              <w:rFonts w:cstheme="minorHAnsi"/>
              <w:lang w:val="en-GB" w:eastAsia="ja-JP"/>
            </w:rPr>
            <w:t>V.</w:t>
          </w:r>
          <w:r>
            <w:rPr>
              <w:rFonts w:cstheme="minorHAnsi"/>
            </w:rPr>
            <w:tab/>
          </w:r>
          <w:r>
            <w:rPr>
              <w:rStyle w:val="30"/>
              <w:rFonts w:cstheme="minorHAnsi"/>
              <w:lang w:val="en-GB" w:eastAsia="ja-JP"/>
            </w:rPr>
            <w:t>GEF PPG Activities timeframe and budget</w:t>
          </w:r>
          <w:r>
            <w:rPr>
              <w:rFonts w:cstheme="minorHAnsi"/>
            </w:rPr>
            <w:tab/>
          </w:r>
          <w:r>
            <w:rPr>
              <w:rFonts w:cstheme="minorHAnsi"/>
              <w:color w:val="2B579A"/>
              <w:shd w:val="clear" w:color="auto" w:fill="E6E6E6"/>
            </w:rPr>
            <w:fldChar w:fldCharType="begin"/>
          </w:r>
          <w:r>
            <w:rPr>
              <w:rFonts w:cstheme="minorHAnsi"/>
            </w:rPr>
            <w:instrText xml:space="preserve"> PAGEREF _Toc8832257 \h </w:instrText>
          </w:r>
          <w:r>
            <w:rPr>
              <w:rFonts w:cstheme="minorHAnsi"/>
              <w:color w:val="2B579A"/>
              <w:shd w:val="clear" w:color="auto" w:fill="E6E6E6"/>
            </w:rPr>
            <w:fldChar w:fldCharType="separate"/>
          </w:r>
          <w:r>
            <w:rPr>
              <w:rFonts w:cstheme="minorHAnsi"/>
            </w:rPr>
            <w:t>14</w:t>
          </w:r>
          <w:r>
            <w:rPr>
              <w:rFonts w:cstheme="minorHAnsi"/>
              <w:color w:val="2B579A"/>
              <w:shd w:val="clear" w:color="auto" w:fill="E6E6E6"/>
            </w:rPr>
            <w:fldChar w:fldCharType="end"/>
          </w:r>
          <w:r>
            <w:rPr>
              <w:rFonts w:cstheme="minorHAnsi"/>
              <w:color w:val="2B579A"/>
              <w:shd w:val="clear" w:color="auto" w:fill="E6E6E6"/>
            </w:rPr>
            <w:fldChar w:fldCharType="end"/>
          </w:r>
        </w:p>
        <w:p w14:paraId="1A5FD309">
          <w:pPr>
            <w:pStyle w:val="17"/>
            <w:rPr>
              <w:rFonts w:cstheme="minorHAnsi"/>
            </w:rPr>
          </w:pPr>
          <w:r>
            <w:fldChar w:fldCharType="begin"/>
          </w:r>
          <w:r>
            <w:instrText xml:space="preserve"> HYPERLINK \l "_Toc8832258" </w:instrText>
          </w:r>
          <w:r>
            <w:fldChar w:fldCharType="separate"/>
          </w:r>
          <w:r>
            <w:rPr>
              <w:rStyle w:val="30"/>
              <w:rFonts w:cstheme="minorHAnsi"/>
              <w:lang w:val="en-GB" w:eastAsia="ja-JP"/>
            </w:rPr>
            <w:t>VI.</w:t>
          </w:r>
          <w:r>
            <w:rPr>
              <w:rFonts w:cstheme="minorHAnsi"/>
            </w:rPr>
            <w:tab/>
          </w:r>
          <w:r>
            <w:rPr>
              <w:rStyle w:val="30"/>
              <w:rFonts w:cstheme="minorHAnsi"/>
              <w:lang w:val="en-GB" w:eastAsia="ja-JP"/>
            </w:rPr>
            <w:t>Mandatory Annexes</w:t>
          </w:r>
          <w:r>
            <w:rPr>
              <w:rFonts w:cstheme="minorHAnsi"/>
            </w:rPr>
            <w:tab/>
          </w:r>
          <w:r>
            <w:rPr>
              <w:rFonts w:cstheme="minorHAnsi"/>
              <w:color w:val="2B579A"/>
              <w:shd w:val="clear" w:color="auto" w:fill="E6E6E6"/>
            </w:rPr>
            <w:fldChar w:fldCharType="begin"/>
          </w:r>
          <w:r>
            <w:rPr>
              <w:rFonts w:cstheme="minorHAnsi"/>
            </w:rPr>
            <w:instrText xml:space="preserve"> PAGEREF _Toc8832258 \h </w:instrText>
          </w:r>
          <w:r>
            <w:rPr>
              <w:rFonts w:cstheme="minorHAnsi"/>
              <w:color w:val="2B579A"/>
              <w:shd w:val="clear" w:color="auto" w:fill="E6E6E6"/>
            </w:rPr>
            <w:fldChar w:fldCharType="separate"/>
          </w:r>
          <w:r>
            <w:rPr>
              <w:rFonts w:cstheme="minorHAnsi"/>
            </w:rPr>
            <w:t>15</w:t>
          </w:r>
          <w:r>
            <w:rPr>
              <w:rFonts w:cstheme="minorHAnsi"/>
              <w:color w:val="2B579A"/>
              <w:shd w:val="clear" w:color="auto" w:fill="E6E6E6"/>
            </w:rPr>
            <w:fldChar w:fldCharType="end"/>
          </w:r>
          <w:r>
            <w:rPr>
              <w:rFonts w:cstheme="minorHAnsi"/>
              <w:color w:val="2B579A"/>
              <w:shd w:val="clear" w:color="auto" w:fill="E6E6E6"/>
            </w:rPr>
            <w:fldChar w:fldCharType="end"/>
          </w:r>
        </w:p>
        <w:p w14:paraId="692FC6A0">
          <w:pPr>
            <w:pStyle w:val="20"/>
            <w:tabs>
              <w:tab w:val="right" w:leader="dot" w:pos="9350"/>
            </w:tabs>
            <w:rPr>
              <w:rFonts w:cstheme="minorHAnsi"/>
            </w:rPr>
          </w:pPr>
          <w:r>
            <w:fldChar w:fldCharType="begin"/>
          </w:r>
          <w:r>
            <w:instrText xml:space="preserve"> HYPERLINK \l "_Toc8832259" </w:instrText>
          </w:r>
          <w:r>
            <w:fldChar w:fldCharType="separate"/>
          </w:r>
          <w:r>
            <w:rPr>
              <w:rStyle w:val="30"/>
              <w:rFonts w:cstheme="minorHAnsi"/>
              <w:lang w:eastAsia="ja-JP"/>
            </w:rPr>
            <w:t>Annex 1: GEF CEO PIF/PPG Approval Letter</w:t>
          </w:r>
          <w:r>
            <w:rPr>
              <w:rFonts w:cstheme="minorHAnsi"/>
            </w:rPr>
            <w:tab/>
          </w:r>
          <w:r>
            <w:rPr>
              <w:rFonts w:cstheme="minorHAnsi"/>
              <w:color w:val="2B579A"/>
              <w:shd w:val="clear" w:color="auto" w:fill="E6E6E6"/>
            </w:rPr>
            <w:fldChar w:fldCharType="begin"/>
          </w:r>
          <w:r>
            <w:rPr>
              <w:rFonts w:cstheme="minorHAnsi"/>
            </w:rPr>
            <w:instrText xml:space="preserve"> PAGEREF _Toc8832259 \h </w:instrText>
          </w:r>
          <w:r>
            <w:rPr>
              <w:rFonts w:cstheme="minorHAnsi"/>
              <w:color w:val="2B579A"/>
              <w:shd w:val="clear" w:color="auto" w:fill="E6E6E6"/>
            </w:rPr>
            <w:fldChar w:fldCharType="separate"/>
          </w:r>
          <w:r>
            <w:rPr>
              <w:rFonts w:cstheme="minorHAnsi"/>
            </w:rPr>
            <w:t>15</w:t>
          </w:r>
          <w:r>
            <w:rPr>
              <w:rFonts w:cstheme="minorHAnsi"/>
              <w:color w:val="2B579A"/>
              <w:shd w:val="clear" w:color="auto" w:fill="E6E6E6"/>
            </w:rPr>
            <w:fldChar w:fldCharType="end"/>
          </w:r>
          <w:r>
            <w:rPr>
              <w:rFonts w:cstheme="minorHAnsi"/>
              <w:color w:val="2B579A"/>
              <w:shd w:val="clear" w:color="auto" w:fill="E6E6E6"/>
            </w:rPr>
            <w:fldChar w:fldCharType="end"/>
          </w:r>
        </w:p>
        <w:p w14:paraId="68E3D777">
          <w:pPr>
            <w:pStyle w:val="20"/>
            <w:tabs>
              <w:tab w:val="right" w:leader="dot" w:pos="9350"/>
            </w:tabs>
            <w:rPr>
              <w:rFonts w:cstheme="minorHAnsi"/>
            </w:rPr>
          </w:pPr>
          <w:r>
            <w:fldChar w:fldCharType="begin"/>
          </w:r>
          <w:r>
            <w:instrText xml:space="preserve"> HYPERLINK \l "_Toc8832260" </w:instrText>
          </w:r>
          <w:r>
            <w:fldChar w:fldCharType="separate"/>
          </w:r>
          <w:r>
            <w:rPr>
              <w:rStyle w:val="30"/>
              <w:rFonts w:cstheme="minorHAnsi"/>
              <w:lang w:eastAsia="ja-JP"/>
            </w:rPr>
            <w:t>Annex 2: Draft Terms of Reference (TORs) of Consultants Financed by the Project Preparatory Grant (GEF PPG)</w:t>
          </w:r>
          <w:r>
            <w:rPr>
              <w:rFonts w:cstheme="minorHAnsi"/>
            </w:rPr>
            <w:tab/>
          </w:r>
          <w:r>
            <w:rPr>
              <w:rFonts w:cstheme="minorHAnsi"/>
              <w:color w:val="2B579A"/>
              <w:shd w:val="clear" w:color="auto" w:fill="E6E6E6"/>
            </w:rPr>
            <w:fldChar w:fldCharType="begin"/>
          </w:r>
          <w:r>
            <w:rPr>
              <w:rFonts w:cstheme="minorHAnsi"/>
            </w:rPr>
            <w:instrText xml:space="preserve"> PAGEREF _Toc8832260 \h </w:instrText>
          </w:r>
          <w:r>
            <w:rPr>
              <w:rFonts w:cstheme="minorHAnsi"/>
              <w:color w:val="2B579A"/>
              <w:shd w:val="clear" w:color="auto" w:fill="E6E6E6"/>
            </w:rPr>
            <w:fldChar w:fldCharType="separate"/>
          </w:r>
          <w:r>
            <w:rPr>
              <w:rFonts w:cstheme="minorHAnsi"/>
            </w:rPr>
            <w:t>16</w:t>
          </w:r>
          <w:r>
            <w:rPr>
              <w:rFonts w:cstheme="minorHAnsi"/>
              <w:color w:val="2B579A"/>
              <w:shd w:val="clear" w:color="auto" w:fill="E6E6E6"/>
            </w:rPr>
            <w:fldChar w:fldCharType="end"/>
          </w:r>
          <w:r>
            <w:rPr>
              <w:rFonts w:cstheme="minorHAnsi"/>
              <w:color w:val="2B579A"/>
              <w:shd w:val="clear" w:color="auto" w:fill="E6E6E6"/>
            </w:rPr>
            <w:fldChar w:fldCharType="end"/>
          </w:r>
        </w:p>
        <w:p w14:paraId="07CDED4A">
          <w:pPr>
            <w:rPr>
              <w:rFonts w:cstheme="minorHAnsi"/>
            </w:rPr>
            <w:sectPr>
              <w:pgSz w:w="12240" w:h="15840"/>
              <w:pgMar w:top="1440" w:right="1440" w:bottom="1440" w:left="1440" w:header="720" w:footer="720" w:gutter="0"/>
              <w:cols w:space="720" w:num="1"/>
              <w:docGrid w:linePitch="360" w:charSpace="0"/>
            </w:sectPr>
          </w:pPr>
          <w:r>
            <w:rPr>
              <w:rFonts w:cstheme="minorHAnsi"/>
              <w:color w:val="2B579A"/>
              <w:shd w:val="clear" w:color="auto" w:fill="E6E6E6"/>
            </w:rPr>
            <w:fldChar w:fldCharType="end"/>
          </w:r>
        </w:p>
      </w:sdtContent>
    </w:sdt>
    <w:p w14:paraId="0214E96F">
      <w:pPr>
        <w:pStyle w:val="2"/>
        <w:numPr>
          <w:ilvl w:val="0"/>
          <w:numId w:val="4"/>
        </w:numPr>
        <w:ind w:left="360"/>
        <w:rPr>
          <w:rFonts w:asciiTheme="minorHAnsi" w:hAnsiTheme="minorHAnsi" w:cstheme="minorHAnsi"/>
        </w:rPr>
      </w:pPr>
      <w:bookmarkStart w:id="0" w:name="_Toc8832250"/>
      <w:r>
        <w:rPr>
          <w:rFonts w:asciiTheme="minorHAnsi" w:hAnsiTheme="minorHAnsi" w:cstheme="minorHAnsi"/>
        </w:rPr>
        <w:t>Brief Description of the Initiation Plan/GEF PPG</w:t>
      </w:r>
      <w:bookmarkEnd w:id="0"/>
    </w:p>
    <w:p w14:paraId="774BE79E">
      <w:pPr>
        <w:rPr>
          <w:rFonts w:cstheme="minorHAnsi"/>
        </w:rPr>
      </w:pPr>
    </w:p>
    <w:p w14:paraId="36017D41">
      <w:pPr>
        <w:rPr>
          <w:rFonts w:cstheme="minorHAnsi"/>
          <w:b/>
        </w:rPr>
      </w:pPr>
      <w:r>
        <w:rPr>
          <w:rFonts w:cstheme="minorHAnsi"/>
          <w:b/>
          <w:u w:val="single"/>
        </w:rPr>
        <w:t>Objective &amp; Final Outputs</w:t>
      </w:r>
    </w:p>
    <w:p w14:paraId="722F03E5">
      <w:pPr>
        <w:rPr>
          <w:rFonts w:cstheme="minorHAnsi"/>
          <w:lang w:eastAsia="zh-CN"/>
        </w:rPr>
      </w:pPr>
      <w:r>
        <w:rPr>
          <w:rFonts w:cstheme="minorHAnsi"/>
        </w:rPr>
        <w:t xml:space="preserve">The objective of the GEF PPG is to develop the project concept into a full project: </w:t>
      </w:r>
      <w:r>
        <w:rPr>
          <w:rFonts w:cstheme="minorHAnsi"/>
          <w:i/>
          <w:shd w:val="clear" w:color="auto" w:fill="D9E2F3" w:themeFill="accent1" w:themeFillTint="33"/>
        </w:rPr>
        <w:t>Conserving Biodiversity and Natural Resources through Spatial Planning and Integrated Landscape Management.</w:t>
      </w:r>
      <w:r>
        <w:rPr>
          <w:rFonts w:cstheme="minorHAnsi"/>
        </w:rPr>
        <w:t xml:space="preserve"> As described in the project concept (PIF/child project concept note), this project aims to </w:t>
      </w:r>
      <w:r>
        <w:rPr>
          <w:rFonts w:cstheme="minorHAnsi"/>
          <w:i/>
          <w:shd w:val="clear" w:color="auto" w:fill="D9E2F3" w:themeFill="accent1" w:themeFillTint="33"/>
        </w:rPr>
        <w:t>create an enabling environment to eliminate drivers of biodiversity loss and degradation, overcoming barriers to effective biodiversity conservation. Using a “cross-sector, jurisdiction and scale” approach and harnessing the synergy of national spatial planning and integrated landscape management, the project seeks transformative change to achieve significant national and global environment benefit</w:t>
      </w:r>
      <w:r>
        <w:rPr>
          <w:rFonts w:cstheme="minorHAnsi"/>
        </w:rPr>
        <w:t>.</w:t>
      </w:r>
    </w:p>
    <w:p w14:paraId="10B56DDE">
      <w:pPr>
        <w:rPr>
          <w:rFonts w:cstheme="minorHAnsi"/>
          <w:shd w:val="clear" w:color="auto" w:fill="ECECEC" w:themeFill="accent3" w:themeFillTint="33"/>
        </w:rPr>
      </w:pPr>
    </w:p>
    <w:p w14:paraId="1B4492ED">
      <w:pPr>
        <w:rPr>
          <w:rFonts w:cstheme="minorHAnsi"/>
        </w:rPr>
      </w:pPr>
      <w:r>
        <w:rPr>
          <w:rFonts w:cstheme="minorHAnsi"/>
        </w:rPr>
        <w:t xml:space="preserve">The following information is to be consulted as background for the GEF PPG phase: </w:t>
      </w:r>
    </w:p>
    <w:p w14:paraId="30C54732">
      <w:pPr>
        <w:pStyle w:val="56"/>
        <w:numPr>
          <w:ilvl w:val="0"/>
          <w:numId w:val="5"/>
        </w:numPr>
        <w:ind w:left="720" w:hanging="360"/>
        <w:rPr>
          <w:rFonts w:cstheme="minorHAnsi"/>
        </w:rPr>
      </w:pPr>
      <w:r>
        <w:rPr>
          <w:rFonts w:cstheme="minorHAnsi"/>
        </w:rPr>
        <w:t>PIF cleared for WP inclusion or GEF Council approved PIF (PFD and child project concept note for projects that are part of a program)</w:t>
      </w:r>
    </w:p>
    <w:p w14:paraId="1B490C61">
      <w:pPr>
        <w:pStyle w:val="56"/>
        <w:numPr>
          <w:ilvl w:val="0"/>
          <w:numId w:val="5"/>
        </w:numPr>
        <w:ind w:left="720" w:hanging="360"/>
        <w:rPr>
          <w:rFonts w:cstheme="minorHAnsi"/>
        </w:rPr>
      </w:pPr>
      <w:r>
        <w:rPr>
          <w:rFonts w:cstheme="minorHAnsi"/>
        </w:rPr>
        <w:t>SES pre-screening (of PIF)</w:t>
      </w:r>
    </w:p>
    <w:p w14:paraId="5C6C9617">
      <w:pPr>
        <w:pStyle w:val="56"/>
        <w:numPr>
          <w:ilvl w:val="0"/>
          <w:numId w:val="5"/>
        </w:numPr>
        <w:ind w:left="720" w:hanging="360"/>
        <w:rPr>
          <w:rFonts w:cstheme="minorHAnsi"/>
        </w:rPr>
      </w:pPr>
      <w:r>
        <w:rPr>
          <w:rFonts w:cstheme="minorHAnsi"/>
        </w:rPr>
        <w:t>Comments from GEF Secretariat, Council, STAP</w:t>
      </w:r>
    </w:p>
    <w:p w14:paraId="4CC6DAAE">
      <w:pPr>
        <w:pStyle w:val="56"/>
        <w:numPr>
          <w:ilvl w:val="0"/>
          <w:numId w:val="5"/>
        </w:numPr>
        <w:ind w:left="720" w:hanging="360"/>
        <w:rPr>
          <w:rFonts w:cstheme="minorHAnsi"/>
        </w:rPr>
      </w:pPr>
      <w:r>
        <w:fldChar w:fldCharType="begin"/>
      </w:r>
      <w:r>
        <w:instrText xml:space="preserve"> HYPERLINK "https://popp.undp.org/UNDP_POPP_DOCUMENT_LIBRARY/Public/PPM_UNDP%20annotated%20Project%20Document%20for%20projects%20financed%20by%20GEF%20Trust%20Funds.docx" </w:instrText>
      </w:r>
      <w:r>
        <w:fldChar w:fldCharType="separate"/>
      </w:r>
      <w:r>
        <w:rPr>
          <w:rStyle w:val="30"/>
          <w:rFonts w:cstheme="minorHAnsi"/>
        </w:rPr>
        <w:t>Annotated UNDP-GEF Project Document Template</w:t>
      </w:r>
      <w:r>
        <w:rPr>
          <w:rStyle w:val="30"/>
          <w:rFonts w:cstheme="minorHAnsi"/>
        </w:rPr>
        <w:fldChar w:fldCharType="end"/>
      </w:r>
      <w:r>
        <w:rPr>
          <w:rFonts w:cstheme="minorHAnsi"/>
        </w:rPr>
        <w:t xml:space="preserve"> and associated guidance included therein</w:t>
      </w:r>
    </w:p>
    <w:p w14:paraId="03C01563">
      <w:pPr>
        <w:pStyle w:val="56"/>
        <w:numPr>
          <w:ilvl w:val="0"/>
          <w:numId w:val="5"/>
        </w:numPr>
        <w:ind w:left="720" w:hanging="360"/>
        <w:rPr>
          <w:rFonts w:cstheme="minorHAnsi"/>
        </w:rPr>
      </w:pPr>
      <w:r>
        <w:fldChar w:fldCharType="begin"/>
      </w:r>
      <w:r>
        <w:instrText xml:space="preserve"> HYPERLINK "https://popp.undp.org/" </w:instrText>
      </w:r>
      <w:r>
        <w:fldChar w:fldCharType="separate"/>
      </w:r>
      <w:r>
        <w:rPr>
          <w:rStyle w:val="30"/>
          <w:rFonts w:cstheme="minorHAnsi"/>
        </w:rPr>
        <w:t>UNDP policies and procedures</w:t>
      </w:r>
      <w:r>
        <w:rPr>
          <w:rStyle w:val="30"/>
          <w:rFonts w:cstheme="minorHAnsi"/>
        </w:rPr>
        <w:fldChar w:fldCharType="end"/>
      </w:r>
      <w:r>
        <w:rPr>
          <w:rFonts w:cstheme="minorHAnsi"/>
        </w:rPr>
        <w:t xml:space="preserve"> </w:t>
      </w:r>
    </w:p>
    <w:p w14:paraId="7B013813">
      <w:pPr>
        <w:pStyle w:val="56"/>
        <w:numPr>
          <w:ilvl w:val="0"/>
          <w:numId w:val="5"/>
        </w:numPr>
        <w:ind w:left="720" w:hanging="360"/>
        <w:rPr>
          <w:rFonts w:cstheme="minorHAnsi"/>
        </w:rPr>
      </w:pPr>
      <w:r>
        <w:rPr>
          <w:rFonts w:cstheme="minorHAnsi"/>
        </w:rPr>
        <w:t>UNDP-GEF guidance notes on GEF project development (which will be provided by the RTA/RTS) and</w:t>
      </w:r>
    </w:p>
    <w:p w14:paraId="78D12B2F">
      <w:pPr>
        <w:pStyle w:val="56"/>
        <w:numPr>
          <w:ilvl w:val="0"/>
          <w:numId w:val="5"/>
        </w:numPr>
        <w:ind w:left="720" w:hanging="360"/>
        <w:rPr>
          <w:rFonts w:cstheme="minorHAnsi"/>
        </w:rPr>
      </w:pPr>
      <w:r>
        <w:rPr>
          <w:rFonts w:cstheme="minorHAnsi"/>
        </w:rPr>
        <w:t xml:space="preserve">GEF polices on: Project Cancellation; Fee Policy for GEF Partner Agencies; Project and Program Cycle; and Minimum Fiduciary Standards for GEF Partner Agency (in particular sections dealing with the required separation of oversight and execution support services). All GEF policies are available </w:t>
      </w:r>
      <w:r>
        <w:fldChar w:fldCharType="begin"/>
      </w:r>
      <w:r>
        <w:instrText xml:space="preserve"> HYPERLINK "https://www.thegef.org/documents/policies-guidelines" </w:instrText>
      </w:r>
      <w:r>
        <w:fldChar w:fldCharType="separate"/>
      </w:r>
      <w:r>
        <w:rPr>
          <w:rStyle w:val="30"/>
          <w:rFonts w:cstheme="minorHAnsi"/>
        </w:rPr>
        <w:t xml:space="preserve">here. </w:t>
      </w:r>
      <w:r>
        <w:rPr>
          <w:rStyle w:val="30"/>
          <w:rFonts w:cstheme="minorHAnsi"/>
        </w:rPr>
        <w:fldChar w:fldCharType="end"/>
      </w:r>
      <w:r>
        <w:rPr>
          <w:rFonts w:cstheme="minorHAnsi"/>
        </w:rPr>
        <w:t xml:space="preserve"> </w:t>
      </w:r>
    </w:p>
    <w:p w14:paraId="0B7294B3">
      <w:pPr>
        <w:rPr>
          <w:rFonts w:cstheme="minorHAnsi"/>
        </w:rPr>
      </w:pPr>
    </w:p>
    <w:p w14:paraId="45BF5CC9">
      <w:pPr>
        <w:rPr>
          <w:rFonts w:cstheme="minorHAnsi"/>
        </w:rPr>
      </w:pPr>
      <w:r>
        <w:rPr>
          <w:rFonts w:cstheme="minorHAnsi"/>
        </w:rPr>
        <w:t xml:space="preserve">The final outputs of the GEF PPG are: </w:t>
      </w:r>
    </w:p>
    <w:p w14:paraId="595768FA">
      <w:pPr>
        <w:pStyle w:val="56"/>
        <w:numPr>
          <w:ilvl w:val="0"/>
          <w:numId w:val="6"/>
        </w:numPr>
        <w:ind w:left="720" w:hanging="360"/>
        <w:rPr>
          <w:rFonts w:cstheme="minorHAnsi"/>
          <w:b/>
          <w:lang w:val="fr-FR"/>
        </w:rPr>
      </w:pPr>
      <w:r>
        <w:rPr>
          <w:rFonts w:cstheme="minorHAnsi"/>
          <w:lang w:val="fr-FR"/>
        </w:rPr>
        <w:t>UNDP-GEF Project Document (ProDoc).</w:t>
      </w:r>
    </w:p>
    <w:p w14:paraId="0963367C">
      <w:pPr>
        <w:pStyle w:val="56"/>
        <w:numPr>
          <w:ilvl w:val="0"/>
          <w:numId w:val="6"/>
        </w:numPr>
        <w:ind w:left="720" w:hanging="360"/>
        <w:rPr>
          <w:rFonts w:cstheme="minorHAnsi"/>
          <w:b/>
          <w:bCs/>
        </w:rPr>
      </w:pPr>
      <w:r>
        <w:rPr>
          <w:rFonts w:cstheme="minorHAnsi"/>
        </w:rPr>
        <w:t xml:space="preserve">Mandatory annexes to the ProDoc </w:t>
      </w:r>
    </w:p>
    <w:p w14:paraId="3E2DE998">
      <w:pPr>
        <w:pStyle w:val="56"/>
        <w:numPr>
          <w:ilvl w:val="0"/>
          <w:numId w:val="6"/>
        </w:numPr>
        <w:ind w:left="720" w:hanging="360"/>
        <w:rPr>
          <w:rFonts w:cstheme="minorHAnsi"/>
        </w:rPr>
      </w:pPr>
      <w:r>
        <w:fldChar w:fldCharType="begin"/>
      </w:r>
      <w:r>
        <w:instrText xml:space="preserve"> HYPERLINK "https://www.thegef.org/documents/templates" </w:instrText>
      </w:r>
      <w:r>
        <w:fldChar w:fldCharType="separate"/>
      </w:r>
      <w:r>
        <w:rPr>
          <w:rStyle w:val="30"/>
          <w:rFonts w:cstheme="minorHAnsi"/>
        </w:rPr>
        <w:t>GEF CEO Endorsement Request and all mandatory annexes; and</w:t>
      </w:r>
      <w:r>
        <w:rPr>
          <w:rStyle w:val="30"/>
          <w:rFonts w:cstheme="minorHAnsi"/>
        </w:rPr>
        <w:fldChar w:fldCharType="end"/>
      </w:r>
    </w:p>
    <w:p w14:paraId="02674F0E">
      <w:pPr>
        <w:pStyle w:val="56"/>
        <w:numPr>
          <w:ilvl w:val="0"/>
          <w:numId w:val="6"/>
        </w:numPr>
        <w:ind w:left="720" w:hanging="360"/>
        <w:rPr>
          <w:rFonts w:cstheme="minorHAnsi"/>
          <w:b/>
        </w:rPr>
      </w:pPr>
      <w:r>
        <w:rPr>
          <w:rFonts w:cstheme="minorHAnsi"/>
        </w:rPr>
        <w:t>Validation Workshop report (required for projects with a high SESP categorization, as appropriate for all others).</w:t>
      </w:r>
    </w:p>
    <w:p w14:paraId="50506F9A">
      <w:pPr>
        <w:rPr>
          <w:rFonts w:cstheme="minorHAnsi"/>
        </w:rPr>
      </w:pPr>
    </w:p>
    <w:p w14:paraId="38D64489">
      <w:pPr>
        <w:rPr>
          <w:rFonts w:cstheme="minorHAnsi"/>
        </w:rPr>
      </w:pPr>
      <w:r>
        <w:rPr>
          <w:rFonts w:cstheme="minorHAnsi"/>
        </w:rPr>
        <w:t>Any additional studies and other reports produced under the GEF PPG and not included in the Annex to the project document will be submitted to UNDP and saved for future reference.</w:t>
      </w:r>
    </w:p>
    <w:p w14:paraId="0E3E25A7">
      <w:pPr>
        <w:rPr>
          <w:rFonts w:cstheme="minorHAnsi"/>
        </w:rPr>
      </w:pPr>
    </w:p>
    <w:p w14:paraId="3DCC6D1D">
      <w:pPr>
        <w:rPr>
          <w:rFonts w:cstheme="minorHAnsi"/>
        </w:rPr>
      </w:pPr>
    </w:p>
    <w:p w14:paraId="40095E4F">
      <w:pPr>
        <w:rPr>
          <w:rFonts w:cstheme="minorHAnsi"/>
        </w:rPr>
      </w:pPr>
    </w:p>
    <w:p w14:paraId="6FAFACAD">
      <w:pPr>
        <w:rPr>
          <w:rFonts w:cstheme="minorHAnsi"/>
        </w:rPr>
      </w:pPr>
    </w:p>
    <w:p w14:paraId="0F10013B">
      <w:pPr>
        <w:rPr>
          <w:rFonts w:cstheme="minorHAnsi"/>
          <w:b/>
        </w:rPr>
      </w:pPr>
    </w:p>
    <w:p w14:paraId="740BF684">
      <w:pPr>
        <w:rPr>
          <w:rFonts w:cstheme="minorHAnsi"/>
        </w:rPr>
      </w:pPr>
      <w:r>
        <w:rPr>
          <w:rFonts w:cstheme="minorHAnsi"/>
          <w:b/>
          <w:u w:val="single"/>
        </w:rPr>
        <w:t>Key Dates for the GEF PPG</w:t>
      </w:r>
      <w:r>
        <w:rPr>
          <w:rFonts w:cstheme="minorHAnsi"/>
          <w:u w:val="single"/>
        </w:rPr>
        <w:t xml:space="preserve"> </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5"/>
        <w:gridCol w:w="1080"/>
        <w:gridCol w:w="5125"/>
      </w:tblGrid>
      <w:tr w14:paraId="6CC5D9C3">
        <w:tc>
          <w:tcPr>
            <w:tcW w:w="3145" w:type="dxa"/>
            <w:shd w:val="clear" w:color="auto" w:fill="A5A5A5" w:themeFill="accent3"/>
          </w:tcPr>
          <w:p w14:paraId="09FD2E1A">
            <w:pPr>
              <w:rPr>
                <w:rFonts w:cstheme="minorHAnsi"/>
                <w:b/>
              </w:rPr>
            </w:pPr>
            <w:r>
              <w:rPr>
                <w:rFonts w:cstheme="minorHAnsi"/>
                <w:b/>
              </w:rPr>
              <w:t>Milestone</w:t>
            </w:r>
          </w:p>
        </w:tc>
        <w:tc>
          <w:tcPr>
            <w:tcW w:w="1080" w:type="dxa"/>
            <w:shd w:val="clear" w:color="auto" w:fill="A5A5A5" w:themeFill="accent3"/>
          </w:tcPr>
          <w:p w14:paraId="50DE5092">
            <w:pPr>
              <w:rPr>
                <w:rFonts w:cstheme="minorHAnsi"/>
                <w:b/>
              </w:rPr>
            </w:pPr>
            <w:r>
              <w:rPr>
                <w:rFonts w:cstheme="minorHAnsi"/>
                <w:b/>
              </w:rPr>
              <w:t>Date</w:t>
            </w:r>
          </w:p>
        </w:tc>
        <w:tc>
          <w:tcPr>
            <w:tcW w:w="5125" w:type="dxa"/>
            <w:shd w:val="clear" w:color="auto" w:fill="A5A5A5" w:themeFill="accent3"/>
          </w:tcPr>
          <w:p w14:paraId="7BC5C28F">
            <w:pPr>
              <w:rPr>
                <w:rFonts w:cstheme="minorHAnsi"/>
                <w:b/>
              </w:rPr>
            </w:pPr>
            <w:r>
              <w:rPr>
                <w:rFonts w:cstheme="minorHAnsi"/>
                <w:b/>
              </w:rPr>
              <w:t>Notes</w:t>
            </w:r>
          </w:p>
        </w:tc>
      </w:tr>
      <w:tr w14:paraId="47A29AA8">
        <w:tc>
          <w:tcPr>
            <w:tcW w:w="3145" w:type="dxa"/>
          </w:tcPr>
          <w:p w14:paraId="7D400ABE">
            <w:pPr>
              <w:rPr>
                <w:rFonts w:cstheme="minorHAnsi"/>
                <w:b/>
              </w:rPr>
            </w:pPr>
            <w:r>
              <w:rPr>
                <w:rFonts w:cstheme="minorHAnsi"/>
                <w:b/>
              </w:rPr>
              <w:t xml:space="preserve">Internal submission date </w:t>
            </w:r>
            <w:r>
              <w:rPr>
                <w:rFonts w:cstheme="minorHAnsi"/>
              </w:rPr>
              <w:t>for BPPS review and clearance</w:t>
            </w:r>
            <w:r>
              <w:rPr>
                <w:rFonts w:cstheme="minorHAnsi"/>
                <w:b/>
              </w:rPr>
              <w:t xml:space="preserve"> </w:t>
            </w:r>
          </w:p>
        </w:tc>
        <w:tc>
          <w:tcPr>
            <w:tcW w:w="1080" w:type="dxa"/>
          </w:tcPr>
          <w:p w14:paraId="1CE91370">
            <w:pPr>
              <w:rPr>
                <w:rFonts w:cstheme="minorHAnsi"/>
                <w:lang w:val="en-GB" w:eastAsia="zh-CN"/>
              </w:rPr>
            </w:pPr>
            <w:r>
              <w:rPr>
                <w:rFonts w:cstheme="minorHAnsi"/>
                <w:i/>
                <w:iCs/>
                <w:shd w:val="clear" w:color="auto" w:fill="D9E2F3" w:themeFill="accent1" w:themeFillTint="33"/>
              </w:rPr>
              <w:t>Oct 20, 2025</w:t>
            </w:r>
          </w:p>
        </w:tc>
        <w:tc>
          <w:tcPr>
            <w:tcW w:w="5125" w:type="dxa"/>
          </w:tcPr>
          <w:p w14:paraId="42592E2F">
            <w:pPr>
              <w:rPr>
                <w:rFonts w:cstheme="minorHAnsi"/>
              </w:rPr>
            </w:pPr>
            <w:r>
              <w:rPr>
                <w:rFonts w:cstheme="minorHAnsi"/>
              </w:rPr>
              <w:t>FSP: within 10 months of PIF approval.</w:t>
            </w:r>
            <w:r>
              <w:rPr>
                <w:rStyle w:val="32"/>
                <w:rFonts w:cstheme="minorHAnsi"/>
              </w:rPr>
              <w:footnoteReference w:id="1"/>
            </w:r>
          </w:p>
          <w:p w14:paraId="349B5F45">
            <w:pPr>
              <w:rPr>
                <w:rFonts w:cstheme="minorHAnsi"/>
              </w:rPr>
            </w:pPr>
          </w:p>
        </w:tc>
      </w:tr>
      <w:tr w14:paraId="09D003C2">
        <w:tc>
          <w:tcPr>
            <w:tcW w:w="3145" w:type="dxa"/>
          </w:tcPr>
          <w:p w14:paraId="4413E889">
            <w:pPr>
              <w:rPr>
                <w:rFonts w:cstheme="minorHAnsi"/>
              </w:rPr>
            </w:pPr>
            <w:r>
              <w:rPr>
                <w:rFonts w:cstheme="minorHAnsi"/>
                <w:b/>
              </w:rPr>
              <w:t>First GEF Submission Deadline</w:t>
            </w:r>
            <w:r>
              <w:rPr>
                <w:rFonts w:cstheme="minorHAnsi"/>
              </w:rPr>
              <w:t xml:space="preserve"> for CEO Endorsement</w:t>
            </w:r>
          </w:p>
        </w:tc>
        <w:tc>
          <w:tcPr>
            <w:tcW w:w="1080" w:type="dxa"/>
          </w:tcPr>
          <w:p w14:paraId="4ACCB0E0">
            <w:pPr>
              <w:rPr>
                <w:rFonts w:cstheme="minorHAnsi"/>
              </w:rPr>
            </w:pPr>
            <w:r>
              <w:rPr>
                <w:rFonts w:cstheme="minorHAnsi"/>
                <w:i/>
                <w:iCs/>
                <w:shd w:val="clear" w:color="auto" w:fill="D9E2F3" w:themeFill="accent1" w:themeFillTint="33"/>
              </w:rPr>
              <w:t>Dec 20, 2025</w:t>
            </w:r>
          </w:p>
        </w:tc>
        <w:tc>
          <w:tcPr>
            <w:tcW w:w="5125" w:type="dxa"/>
          </w:tcPr>
          <w:p w14:paraId="36BDE684">
            <w:pPr>
              <w:rPr>
                <w:rFonts w:cstheme="minorHAnsi"/>
              </w:rPr>
            </w:pPr>
            <w:r>
              <w:rPr>
                <w:rFonts w:cstheme="minorHAnsi"/>
              </w:rPr>
              <w:t xml:space="preserve">FSP: must be within 12 months of PIF approval </w:t>
            </w:r>
          </w:p>
          <w:p w14:paraId="29AA6ACD">
            <w:pPr>
              <w:rPr>
                <w:rFonts w:cstheme="minorHAnsi"/>
                <w:b/>
                <w:bCs/>
              </w:rPr>
            </w:pPr>
            <w:r>
              <w:rPr>
                <w:rFonts w:cstheme="minorHAnsi"/>
                <w:b/>
                <w:bCs/>
              </w:rPr>
              <w:t xml:space="preserve">Failure to submit a ProDoc and CEO ER to the GEF Sec by this date will lead to the automatic cancellation of the project by the GEF Sec. </w:t>
            </w:r>
          </w:p>
        </w:tc>
      </w:tr>
      <w:tr w14:paraId="54872776">
        <w:tc>
          <w:tcPr>
            <w:tcW w:w="3145" w:type="dxa"/>
          </w:tcPr>
          <w:p w14:paraId="0C2CCF52">
            <w:pPr>
              <w:rPr>
                <w:rFonts w:cstheme="minorHAnsi"/>
              </w:rPr>
            </w:pPr>
            <w:r>
              <w:rPr>
                <w:rFonts w:cstheme="minorHAnsi"/>
                <w:b/>
              </w:rPr>
              <w:t>CEO Endorsement Deadline</w:t>
            </w:r>
            <w:r>
              <w:rPr>
                <w:rFonts w:cstheme="minorHAnsi"/>
              </w:rPr>
              <w:t xml:space="preserve"> after which the project w</w:t>
            </w:r>
            <w:bookmarkStart w:id="12" w:name="_GoBack"/>
            <w:bookmarkEnd w:id="12"/>
            <w:r>
              <w:rPr>
                <w:rFonts w:cstheme="minorHAnsi"/>
              </w:rPr>
              <w:t>ill be cancelled if not endorsed</w:t>
            </w:r>
          </w:p>
        </w:tc>
        <w:tc>
          <w:tcPr>
            <w:tcW w:w="1080" w:type="dxa"/>
          </w:tcPr>
          <w:p w14:paraId="2E1A25DA">
            <w:pPr>
              <w:rPr>
                <w:rFonts w:cstheme="minorHAnsi"/>
              </w:rPr>
            </w:pPr>
            <w:r>
              <w:rPr>
                <w:rFonts w:cstheme="minorHAnsi"/>
                <w:i/>
                <w:iCs/>
                <w:shd w:val="clear" w:color="auto" w:fill="D9E2F3" w:themeFill="accent1" w:themeFillTint="33"/>
              </w:rPr>
              <w:t>Jun 20, 2026</w:t>
            </w:r>
          </w:p>
        </w:tc>
        <w:tc>
          <w:tcPr>
            <w:tcW w:w="5125" w:type="dxa"/>
          </w:tcPr>
          <w:p w14:paraId="00E81C4C">
            <w:pPr>
              <w:rPr>
                <w:rFonts w:cstheme="minorHAnsi"/>
              </w:rPr>
            </w:pPr>
            <w:r>
              <w:rPr>
                <w:rFonts w:cstheme="minorHAnsi"/>
              </w:rPr>
              <w:t xml:space="preserve">FSP: must be within 18 months of PIF approval </w:t>
            </w:r>
          </w:p>
          <w:p w14:paraId="3C2AE45A">
            <w:pPr>
              <w:rPr>
                <w:rFonts w:cstheme="minorHAnsi"/>
                <w:b/>
                <w:bCs/>
              </w:rPr>
            </w:pPr>
            <w:r>
              <w:rPr>
                <w:rFonts w:cstheme="minorHAnsi"/>
                <w:b/>
                <w:bCs/>
              </w:rPr>
              <w:t xml:space="preserve">If the project has not been CEO endorsed by the deadline, it will be automatically cancelled by the GEF Sec. </w:t>
            </w:r>
          </w:p>
        </w:tc>
      </w:tr>
    </w:tbl>
    <w:p w14:paraId="6001C0BE">
      <w:pPr>
        <w:rPr>
          <w:rFonts w:cstheme="minorHAnsi"/>
          <w:b/>
        </w:rPr>
      </w:pPr>
    </w:p>
    <w:p w14:paraId="09BE3FF7">
      <w:pPr>
        <w:rPr>
          <w:rFonts w:cstheme="minorHAnsi"/>
          <w:b/>
          <w:u w:val="single"/>
        </w:rPr>
      </w:pPr>
    </w:p>
    <w:p w14:paraId="62A8A96A">
      <w:pPr>
        <w:rPr>
          <w:rFonts w:cstheme="minorHAnsi"/>
          <w:b/>
        </w:rPr>
      </w:pPr>
      <w:r>
        <w:rPr>
          <w:rFonts w:cstheme="minorHAnsi"/>
          <w:b/>
          <w:u w:val="single"/>
        </w:rPr>
        <w:t>Management Arrangements</w:t>
      </w:r>
      <w:r>
        <w:rPr>
          <w:rFonts w:cstheme="minorHAnsi"/>
          <w:b/>
        </w:rPr>
        <w:t xml:space="preserve"> </w:t>
      </w:r>
    </w:p>
    <w:p w14:paraId="7B783AAB">
      <w:pPr>
        <w:rPr>
          <w:rFonts w:cstheme="minorHAnsi"/>
        </w:rPr>
      </w:pPr>
      <w:r>
        <w:rPr>
          <w:rFonts w:cstheme="minorHAnsi"/>
        </w:rPr>
        <w:t xml:space="preserve">The UNDP </w:t>
      </w:r>
      <w:r>
        <w:rPr>
          <w:rFonts w:cstheme="minorHAnsi"/>
          <w:i/>
          <w:shd w:val="clear" w:color="auto" w:fill="D9E2F3" w:themeFill="accent1" w:themeFillTint="33"/>
        </w:rPr>
        <w:t>C</w:t>
      </w:r>
      <w:r>
        <w:rPr>
          <w:rFonts w:cstheme="minorHAnsi"/>
          <w:i/>
          <w:shd w:val="clear" w:color="auto" w:fill="D9E2F3" w:themeFill="accent1" w:themeFillTint="33"/>
          <w:lang w:val="en-GB" w:eastAsia="zh-CN"/>
        </w:rPr>
        <w:t>hina C</w:t>
      </w:r>
      <w:r>
        <w:rPr>
          <w:rFonts w:cstheme="minorHAnsi"/>
          <w:i/>
          <w:shd w:val="clear" w:color="auto" w:fill="D9E2F3" w:themeFill="accent1" w:themeFillTint="33"/>
          <w:lang w:eastAsia="zh-CN"/>
        </w:rPr>
        <w:t>o</w:t>
      </w:r>
      <w:r>
        <w:rPr>
          <w:rFonts w:cstheme="minorHAnsi"/>
          <w:i/>
          <w:shd w:val="clear" w:color="auto" w:fill="D9E2F3" w:themeFill="accent1" w:themeFillTint="33"/>
        </w:rPr>
        <w:t>untry Office</w:t>
      </w:r>
      <w:r>
        <w:rPr>
          <w:rFonts w:cstheme="minorHAnsi"/>
        </w:rPr>
        <w:t xml:space="preserve"> will lead the project development process and manage the GEF PPG budget in full consultation with the BPPS VF unit and the Regional Technical Adviser. The GEF PPG Quantum budget is presented in </w:t>
      </w:r>
      <w:r>
        <w:rPr>
          <w:rFonts w:cstheme="minorHAnsi"/>
          <w:i/>
        </w:rPr>
        <w:t>Section IV: Total Budget and Work Plan</w:t>
      </w:r>
      <w:r>
        <w:rPr>
          <w:rFonts w:cstheme="minorHAnsi"/>
        </w:rPr>
        <w:t xml:space="preserve">. </w:t>
      </w:r>
    </w:p>
    <w:p w14:paraId="4E6FB94B">
      <w:pPr>
        <w:rPr>
          <w:rFonts w:cstheme="minorHAnsi"/>
        </w:rPr>
      </w:pPr>
    </w:p>
    <w:p w14:paraId="2F243FCC">
      <w:pPr>
        <w:rPr>
          <w:rFonts w:cstheme="minorHAnsi"/>
        </w:rPr>
      </w:pPr>
      <w:r>
        <w:rPr>
          <w:rFonts w:cstheme="minorHAnsi"/>
        </w:rPr>
        <w:t xml:space="preserve">As appropriate, a Working Group will guide the GEF PPG team and review and endorse the GEF PPG deliverables. The Working Group is responsible for ensuring that the deliverables outlined in this GEF PPG are completed on time and in line with UNDP and GEF requirements. </w:t>
      </w:r>
      <w:r>
        <w:rPr>
          <w:rFonts w:cstheme="minorHAnsi"/>
          <w:i/>
          <w:shd w:val="clear" w:color="auto" w:fill="D9E2F3" w:themeFill="accent1" w:themeFillTint="33"/>
        </w:rPr>
        <w:t>UNDP China</w:t>
      </w:r>
      <w:r>
        <w:rPr>
          <w:rFonts w:cstheme="minorHAnsi"/>
        </w:rPr>
        <w:t xml:space="preserve"> will chair the Working Group. Working Group members will include: </w:t>
      </w:r>
      <w:r>
        <w:rPr>
          <w:rFonts w:cstheme="minorHAnsi"/>
          <w:i/>
          <w:shd w:val="clear" w:color="auto" w:fill="D9E2F3" w:themeFill="accent1" w:themeFillTint="33"/>
        </w:rPr>
        <w:t>Ministry of Finance and Ministry of Natural Resources. Project‐level coordination will also take place involving FAO, World Bank, ADB, IUCN etc., academic institutions such as the Chinese Academy of Sciences, private entities such as Ant Group, as well as project partners for other UNDP‐supported biodiversity conservation projects</w:t>
      </w:r>
      <w:r>
        <w:rPr>
          <w:rFonts w:cstheme="minorHAnsi"/>
        </w:rPr>
        <w:t>.</w:t>
      </w:r>
    </w:p>
    <w:p w14:paraId="1CB04EE0">
      <w:pPr>
        <w:rPr>
          <w:rFonts w:cstheme="minorHAnsi"/>
        </w:rPr>
      </w:pPr>
    </w:p>
    <w:p w14:paraId="32CEB214">
      <w:pPr>
        <w:rPr>
          <w:rFonts w:cstheme="minorHAnsi"/>
        </w:rPr>
      </w:pPr>
      <w:r>
        <w:rPr>
          <w:rFonts w:cstheme="minorHAnsi"/>
        </w:rPr>
        <w:t xml:space="preserve">The GEF PPG team will be composed of the consultancies described in the draft Terms of Reference (TORs) in Annex 2. </w:t>
      </w:r>
    </w:p>
    <w:p w14:paraId="3E9286C7">
      <w:pPr>
        <w:pStyle w:val="2"/>
        <w:numPr>
          <w:ilvl w:val="0"/>
          <w:numId w:val="4"/>
        </w:numPr>
        <w:ind w:left="360"/>
        <w:rPr>
          <w:rFonts w:asciiTheme="minorHAnsi" w:hAnsiTheme="minorHAnsi" w:cstheme="minorHAnsi"/>
        </w:rPr>
      </w:pPr>
      <w:bookmarkStart w:id="1" w:name="_Toc8832251"/>
      <w:r>
        <w:rPr>
          <w:rFonts w:asciiTheme="minorHAnsi" w:hAnsiTheme="minorHAnsi" w:cstheme="minorHAnsi"/>
        </w:rPr>
        <w:t>Stakeholder Engagement, public disclosure, and other requirements</w:t>
      </w:r>
      <w:bookmarkEnd w:id="1"/>
      <w:r>
        <w:rPr>
          <w:rFonts w:asciiTheme="minorHAnsi" w:hAnsiTheme="minorHAnsi" w:cstheme="minorHAnsi"/>
        </w:rPr>
        <w:t xml:space="preserve"> </w:t>
      </w:r>
    </w:p>
    <w:p w14:paraId="16494E25">
      <w:pPr>
        <w:rPr>
          <w:rFonts w:cstheme="minorHAnsi"/>
        </w:rPr>
      </w:pPr>
    </w:p>
    <w:p w14:paraId="1547B0B8">
      <w:pPr>
        <w:rPr>
          <w:rFonts w:cstheme="minorHAnsi"/>
        </w:rPr>
      </w:pPr>
      <w:r>
        <w:rPr>
          <w:rFonts w:cstheme="minorHAnsi"/>
        </w:rPr>
        <w:t xml:space="preserve">To ensure strong country ownership and in line with the stakeholder engagement requirements outlined in UNDP’s </w:t>
      </w:r>
      <w:r>
        <w:fldChar w:fldCharType="begin"/>
      </w:r>
      <w:r>
        <w:instrText xml:space="preserve"> HYPERLINK "https://info.undp.org/sites/bpps/SES_Toolkit/Pages/Homepage.aspx" </w:instrText>
      </w:r>
      <w:r>
        <w:fldChar w:fldCharType="separate"/>
      </w:r>
      <w:r>
        <w:rPr>
          <w:rStyle w:val="30"/>
          <w:rFonts w:cstheme="minorHAnsi"/>
        </w:rPr>
        <w:t>Social and Environmental Standards</w:t>
      </w:r>
      <w:r>
        <w:rPr>
          <w:rStyle w:val="30"/>
          <w:rFonts w:cstheme="minorHAnsi"/>
        </w:rPr>
        <w:fldChar w:fldCharType="end"/>
      </w:r>
      <w:r>
        <w:rPr>
          <w:rFonts w:cstheme="minorHAnsi"/>
        </w:rPr>
        <w:t xml:space="preserve"> (SES), the</w:t>
      </w:r>
      <w:r>
        <w:fldChar w:fldCharType="begin"/>
      </w:r>
      <w:r>
        <w:instrText xml:space="preserve"> HYPERLINK "https://info.undp.org/sites/bpps/SES_Toolkit/SES%20Document%20Library/Uploaded%20October%202016/UNDP%20SES%20Stakeholder%20Engagement%20GN_Final_rev_July2022.pdf" </w:instrText>
      </w:r>
      <w:r>
        <w:fldChar w:fldCharType="separate"/>
      </w:r>
      <w:r>
        <w:rPr>
          <w:rStyle w:val="30"/>
          <w:rFonts w:cstheme="minorHAnsi"/>
        </w:rPr>
        <w:t xml:space="preserve"> SES Guidance Note of Stakeholder Engagement</w:t>
      </w:r>
      <w:r>
        <w:rPr>
          <w:rStyle w:val="30"/>
          <w:rFonts w:cstheme="minorHAnsi"/>
        </w:rPr>
        <w:fldChar w:fldCharType="end"/>
      </w:r>
      <w:r>
        <w:rPr>
          <w:rFonts w:cstheme="minorHAnsi"/>
        </w:rPr>
        <w:t xml:space="preserve">, the GEF’s </w:t>
      </w:r>
      <w:r>
        <w:fldChar w:fldCharType="begin"/>
      </w:r>
      <w:r>
        <w:instrText xml:space="preserve"> HYPERLINK "https://www.thegef.org/sites/default/files/documents/Stakeholder_Engagement_Guidelines.pdf" </w:instrText>
      </w:r>
      <w:r>
        <w:fldChar w:fldCharType="separate"/>
      </w:r>
      <w:r>
        <w:rPr>
          <w:rStyle w:val="30"/>
          <w:rFonts w:cstheme="minorHAnsi"/>
        </w:rPr>
        <w:t>Guidelines on the Implementation of the Policy on Stakeholder Engagement</w:t>
      </w:r>
      <w:r>
        <w:rPr>
          <w:rStyle w:val="30"/>
          <w:rFonts w:cstheme="minorHAnsi"/>
        </w:rPr>
        <w:fldChar w:fldCharType="end"/>
      </w:r>
      <w:r>
        <w:rPr>
          <w:rStyle w:val="30"/>
          <w:rFonts w:cstheme="minorHAnsi"/>
        </w:rPr>
        <w:t xml:space="preserve"> and the GEF Policy on Gender Equality</w:t>
      </w:r>
      <w:r>
        <w:rPr>
          <w:rFonts w:cstheme="minorHAnsi"/>
        </w:rPr>
        <w:t xml:space="preserve">, the development of the project to be undertaken during this GEF PPG phase will be done in full consultation and close engagement with government, CSO and other relevant stakeholders – in particular those who will benefit from and be directly involved in the implementation of the project (i.e., direct project beneficiaries) and those who may be impacted (positively or negatively) by the project. Stakeholder Engagement and analysis must be conducted in an inclusive and gender-responsive manner so that the rights of women and men and the different structural barriers, knowledge, needs, roles, and interests of women and men are recognized and addressed. </w:t>
      </w:r>
    </w:p>
    <w:p w14:paraId="7A533D0F">
      <w:pPr>
        <w:rPr>
          <w:rFonts w:cstheme="minorHAnsi"/>
        </w:rPr>
      </w:pPr>
    </w:p>
    <w:p w14:paraId="665A6DD2">
      <w:pPr>
        <w:rPr>
          <w:rFonts w:cstheme="minorHAnsi"/>
        </w:rPr>
      </w:pPr>
      <w:r>
        <w:rPr>
          <w:rFonts w:cstheme="minorHAnsi"/>
        </w:rPr>
        <w:t xml:space="preserve">Careful and complete documentation of stakeholder engagement is vital. Detailed evidence of all consultations will be prepared and submitted to UNDP. A list of the consulted stakeholders and details of the associated meetings will be included in the Stakeholder Engagement Plan (see section B-a below). </w:t>
      </w:r>
    </w:p>
    <w:p w14:paraId="3633F76B">
      <w:pPr>
        <w:rPr>
          <w:rFonts w:cstheme="minorHAnsi"/>
        </w:rPr>
      </w:pPr>
    </w:p>
    <w:p w14:paraId="02A78D74">
      <w:pPr>
        <w:rPr>
          <w:rFonts w:cstheme="minorHAnsi"/>
        </w:rPr>
      </w:pPr>
      <w:r>
        <w:rPr>
          <w:rFonts w:cstheme="minorHAnsi"/>
        </w:rPr>
        <w:t xml:space="preserve">If the fully designed project has an overall Social and Environment Screening Procedure (SESP) categorization of </w:t>
      </w:r>
      <w:r>
        <w:rPr>
          <w:rFonts w:cstheme="minorHAnsi"/>
          <w:u w:val="single"/>
        </w:rPr>
        <w:t>moderate</w:t>
      </w:r>
      <w:r>
        <w:rPr>
          <w:rFonts w:cstheme="minorHAnsi"/>
        </w:rPr>
        <w:t xml:space="preserve">, </w:t>
      </w:r>
      <w:r>
        <w:rPr>
          <w:rFonts w:cstheme="minorHAnsi"/>
          <w:u w:val="single"/>
        </w:rPr>
        <w:t>substantial,</w:t>
      </w:r>
      <w:r>
        <w:rPr>
          <w:rFonts w:cstheme="minorHAnsi"/>
        </w:rPr>
        <w:t xml:space="preserve"> or </w:t>
      </w:r>
      <w:r>
        <w:rPr>
          <w:rFonts w:cstheme="minorHAnsi"/>
          <w:u w:val="single"/>
        </w:rPr>
        <w:t>high</w:t>
      </w:r>
      <w:r>
        <w:rPr>
          <w:rFonts w:cstheme="minorHAnsi"/>
        </w:rPr>
        <w:t>, then the following disclosure requirements apply:</w:t>
      </w:r>
    </w:p>
    <w:p w14:paraId="70EA5CDA">
      <w:pPr>
        <w:pStyle w:val="56"/>
        <w:numPr>
          <w:ilvl w:val="0"/>
          <w:numId w:val="7"/>
        </w:numPr>
        <w:rPr>
          <w:rFonts w:cstheme="minorHAnsi"/>
        </w:rPr>
      </w:pPr>
      <w:r>
        <w:rPr>
          <w:rFonts w:cstheme="minorHAnsi"/>
        </w:rPr>
        <w:t>A final validation workshop report will be prepared summarizing the outcomes of the validation workshop and other consultations undertaken during the PPG phase. This report will become a key reference document should an environmental and social complaint/grievance be filed during project implementation. This is mandatory for high and substantial risk projects and recommended for moderate risk projects.</w:t>
      </w:r>
    </w:p>
    <w:p w14:paraId="69F8FC80">
      <w:pPr>
        <w:pStyle w:val="56"/>
        <w:numPr>
          <w:ilvl w:val="0"/>
          <w:numId w:val="7"/>
        </w:numPr>
        <w:rPr>
          <w:rFonts w:cstheme="minorHAnsi"/>
        </w:rPr>
      </w:pPr>
      <w:r>
        <w:rPr>
          <w:rFonts w:cstheme="minorHAnsi"/>
        </w:rPr>
        <w:t xml:space="preserve">The UNDP-GEF project document, SESP and related draft management plans and frameworks, and other relevant information/documents will be made available to the public on the UNDP Country Office website or </w:t>
      </w:r>
      <w:r>
        <w:fldChar w:fldCharType="begin"/>
      </w:r>
      <w:r>
        <w:instrText xml:space="preserve"> HYPERLINK "http://open.undp.org/" \l "2017" </w:instrText>
      </w:r>
      <w:r>
        <w:fldChar w:fldCharType="separate"/>
      </w:r>
      <w:r>
        <w:rPr>
          <w:rStyle w:val="30"/>
          <w:rFonts w:cstheme="minorHAnsi"/>
        </w:rPr>
        <w:t>open.undp.org</w:t>
      </w:r>
      <w:r>
        <w:rPr>
          <w:rStyle w:val="30"/>
          <w:rFonts w:cstheme="minorHAnsi"/>
        </w:rPr>
        <w:fldChar w:fldCharType="end"/>
      </w:r>
      <w:r>
        <w:rPr>
          <w:rFonts w:cstheme="minorHAnsi"/>
        </w:rPr>
        <w:t>. These documents should be available 30 days before the LPAC meeting for moderate risk projects, 60 days in advance for substantial risk projects, and 120 days in advance for high-risk projects.</w:t>
      </w:r>
    </w:p>
    <w:p w14:paraId="0FFB9B3C">
      <w:pPr>
        <w:rPr>
          <w:rFonts w:cstheme="minorHAnsi"/>
        </w:rPr>
      </w:pPr>
    </w:p>
    <w:p w14:paraId="427F1361">
      <w:pPr>
        <w:rPr>
          <w:rFonts w:cstheme="minorHAnsi"/>
        </w:rPr>
      </w:pPr>
      <w:r>
        <w:rPr>
          <w:rFonts w:cstheme="minorHAnsi"/>
        </w:rPr>
        <w:t xml:space="preserve">See the </w:t>
      </w:r>
      <w:r>
        <w:fldChar w:fldCharType="begin"/>
      </w:r>
      <w:r>
        <w:instrText xml:space="preserve"> HYPERLINK "https://info.undp.org/sites/bpps/SES_Toolkit/SES%20Document%20Library/Uploaded%20October%202016/Supplemental%20Guidance%20on%20Disclosure%20of%20SESPs,%20Assessments,%20Management%20Plans_rev_5May2022.pdf" </w:instrText>
      </w:r>
      <w:r>
        <w:fldChar w:fldCharType="separate"/>
      </w:r>
      <w:r>
        <w:rPr>
          <w:rStyle w:val="30"/>
          <w:rFonts w:cstheme="minorHAnsi"/>
        </w:rPr>
        <w:t>SES Supplemental Guidance on Disclosure</w:t>
      </w:r>
      <w:r>
        <w:rPr>
          <w:rStyle w:val="30"/>
          <w:rFonts w:cstheme="minorHAnsi"/>
        </w:rPr>
        <w:fldChar w:fldCharType="end"/>
      </w:r>
      <w:r>
        <w:rPr>
          <w:rFonts w:cstheme="minorHAnsi"/>
        </w:rPr>
        <w:t xml:space="preserve"> for more information. </w:t>
      </w:r>
    </w:p>
    <w:p w14:paraId="2594D0AD">
      <w:pPr>
        <w:rPr>
          <w:rFonts w:cstheme="minorHAnsi"/>
        </w:rPr>
      </w:pPr>
    </w:p>
    <w:p w14:paraId="591638F0">
      <w:pPr>
        <w:pStyle w:val="2"/>
        <w:numPr>
          <w:ilvl w:val="0"/>
          <w:numId w:val="4"/>
        </w:numPr>
        <w:ind w:left="360"/>
        <w:rPr>
          <w:rFonts w:asciiTheme="minorHAnsi" w:hAnsiTheme="minorHAnsi" w:cstheme="minorHAnsi"/>
        </w:rPr>
      </w:pPr>
      <w:bookmarkStart w:id="2" w:name="_Toc8832252"/>
      <w:r>
        <w:rPr>
          <w:rFonts w:asciiTheme="minorHAnsi" w:hAnsiTheme="minorHAnsi" w:cstheme="minorHAnsi"/>
        </w:rPr>
        <w:t>GEF PPG Activities</w:t>
      </w:r>
      <w:bookmarkEnd w:id="2"/>
    </w:p>
    <w:p w14:paraId="449342F4">
      <w:pPr>
        <w:rPr>
          <w:rFonts w:cstheme="minorHAnsi"/>
        </w:rPr>
      </w:pPr>
    </w:p>
    <w:p w14:paraId="607C5677">
      <w:pPr>
        <w:pStyle w:val="3"/>
        <w:rPr>
          <w:rFonts w:asciiTheme="minorHAnsi" w:hAnsiTheme="minorHAnsi" w:cstheme="minorHAnsi"/>
        </w:rPr>
      </w:pPr>
      <w:bookmarkStart w:id="3" w:name="_Toc8832253"/>
      <w:r>
        <w:rPr>
          <w:rFonts w:asciiTheme="minorHAnsi" w:hAnsiTheme="minorHAnsi" w:cstheme="minorHAnsi"/>
        </w:rPr>
        <w:t>Component A: Preparatory Technical Studies &amp; Reviews</w:t>
      </w:r>
      <w:bookmarkEnd w:id="3"/>
    </w:p>
    <w:p w14:paraId="1D0E0C8B">
      <w:pPr>
        <w:contextualSpacing w:val="0"/>
        <w:rPr>
          <w:rFonts w:cstheme="minorHAnsi"/>
          <w:lang w:val="en-GB"/>
        </w:rPr>
      </w:pPr>
      <w:r>
        <w:rPr>
          <w:rFonts w:cstheme="minorHAnsi"/>
          <w:lang w:val="en-GB"/>
        </w:rPr>
        <w:t xml:space="preserve">The following technical studies and reviews will be conducted. </w:t>
      </w:r>
    </w:p>
    <w:p w14:paraId="3F03E6E5">
      <w:pPr>
        <w:rPr>
          <w:rFonts w:cstheme="minorHAnsi"/>
          <w:b/>
          <w:lang w:val="en-GB"/>
        </w:rPr>
      </w:pPr>
    </w:p>
    <w:p w14:paraId="13BDB417">
      <w:pPr>
        <w:pStyle w:val="4"/>
        <w:rPr>
          <w:rFonts w:asciiTheme="minorHAnsi" w:hAnsiTheme="minorHAnsi" w:cstheme="minorHAnsi"/>
        </w:rPr>
      </w:pPr>
      <w:r>
        <w:rPr>
          <w:rFonts w:asciiTheme="minorHAnsi" w:hAnsiTheme="minorHAnsi" w:cstheme="minorHAnsi"/>
        </w:rPr>
        <w:t>Desktop and field-based studies and data collection</w:t>
      </w:r>
    </w:p>
    <w:p w14:paraId="6FB2821C">
      <w:pPr>
        <w:rPr>
          <w:rFonts w:cstheme="minorHAnsi"/>
          <w:lang w:val="en-GB"/>
        </w:rPr>
      </w:pPr>
      <w:r>
        <w:rPr>
          <w:rFonts w:cstheme="minorHAnsi"/>
          <w:lang w:val="en-GB"/>
        </w:rPr>
        <w:t>This research should produce the background information required to prepare the ProDoc (including its Annexes) and CEO Endorsement Request, including but not limited to the following:</w:t>
      </w:r>
    </w:p>
    <w:p w14:paraId="2E366F5F">
      <w:pPr>
        <w:pStyle w:val="56"/>
        <w:numPr>
          <w:ilvl w:val="0"/>
          <w:numId w:val="8"/>
        </w:numPr>
        <w:rPr>
          <w:rFonts w:cstheme="minorHAnsi"/>
          <w:lang w:val="en-GB"/>
        </w:rPr>
      </w:pPr>
      <w:r>
        <w:rPr>
          <w:rFonts w:cstheme="minorHAnsi"/>
          <w:lang w:val="en-GB"/>
        </w:rPr>
        <w:t>Development challenge and strategy (including threats, problems, and barrier assessment);</w:t>
      </w:r>
    </w:p>
    <w:p w14:paraId="795B6B72">
      <w:pPr>
        <w:pStyle w:val="56"/>
        <w:numPr>
          <w:ilvl w:val="0"/>
          <w:numId w:val="8"/>
        </w:numPr>
        <w:rPr>
          <w:rFonts w:cstheme="minorHAnsi"/>
          <w:lang w:val="en-GB"/>
        </w:rPr>
      </w:pPr>
      <w:r>
        <w:rPr>
          <w:rFonts w:cstheme="minorHAnsi"/>
          <w:lang w:val="en-GB"/>
        </w:rPr>
        <w:t xml:space="preserve">Review of national policy and legislative frameworks; </w:t>
      </w:r>
    </w:p>
    <w:p w14:paraId="4335EFBF">
      <w:pPr>
        <w:pStyle w:val="56"/>
        <w:numPr>
          <w:ilvl w:val="0"/>
          <w:numId w:val="8"/>
        </w:numPr>
        <w:rPr>
          <w:rFonts w:cstheme="minorHAnsi"/>
          <w:lang w:val="en-GB"/>
        </w:rPr>
      </w:pPr>
      <w:r>
        <w:rPr>
          <w:rFonts w:cstheme="minorHAnsi"/>
          <w:lang w:val="en-GB"/>
        </w:rPr>
        <w:t>Problem and solution trees, assumptions and risks, developed in consultation with project stakeholders for a robust Theory of Change, Results Framework, and solid M&amp;E plan;</w:t>
      </w:r>
    </w:p>
    <w:p w14:paraId="073B4BA1">
      <w:pPr>
        <w:pStyle w:val="56"/>
        <w:numPr>
          <w:ilvl w:val="0"/>
          <w:numId w:val="8"/>
        </w:numPr>
        <w:rPr>
          <w:rFonts w:cstheme="minorHAnsi"/>
          <w:lang w:val="en-GB"/>
        </w:rPr>
      </w:pPr>
      <w:r>
        <w:rPr>
          <w:rFonts w:cstheme="minorHAnsi"/>
          <w:lang w:val="en-GB"/>
        </w:rPr>
        <w:t xml:space="preserve">Review of relevant past and ongoing projects for lessons, including </w:t>
      </w:r>
      <w:r>
        <w:fldChar w:fldCharType="begin"/>
      </w:r>
      <w:r>
        <w:instrText xml:space="preserve"> HYPERLINK "https://erc.undp.org/" </w:instrText>
      </w:r>
      <w:r>
        <w:fldChar w:fldCharType="separate"/>
      </w:r>
      <w:r>
        <w:rPr>
          <w:rStyle w:val="30"/>
          <w:rFonts w:cstheme="minorHAnsi"/>
          <w:lang w:val="en-GB"/>
        </w:rPr>
        <w:t>project evaluations</w:t>
      </w:r>
      <w:r>
        <w:rPr>
          <w:rStyle w:val="30"/>
          <w:rFonts w:cstheme="minorHAnsi"/>
          <w:lang w:val="en-GB"/>
        </w:rPr>
        <w:fldChar w:fldCharType="end"/>
      </w:r>
      <w:r>
        <w:rPr>
          <w:rFonts w:cstheme="minorHAnsi"/>
          <w:lang w:val="en-GB"/>
        </w:rPr>
        <w:t>; and</w:t>
      </w:r>
    </w:p>
    <w:p w14:paraId="08D11FC8">
      <w:pPr>
        <w:pStyle w:val="56"/>
        <w:numPr>
          <w:ilvl w:val="0"/>
          <w:numId w:val="8"/>
        </w:numPr>
        <w:rPr>
          <w:rFonts w:cstheme="minorHAnsi"/>
          <w:lang w:val="en-GB"/>
        </w:rPr>
      </w:pPr>
      <w:r>
        <w:rPr>
          <w:rFonts w:cstheme="minorHAnsi"/>
          <w:lang w:val="en-GB"/>
        </w:rPr>
        <w:t>Any other analyses required to address all comments on the PIF received from GEF Secretariat, GEF Council members, and STAP.</w:t>
      </w:r>
    </w:p>
    <w:p w14:paraId="59BCE949">
      <w:pPr>
        <w:rPr>
          <w:rFonts w:cstheme="minorHAnsi"/>
          <w:lang w:val="en-GB"/>
        </w:rPr>
      </w:pPr>
    </w:p>
    <w:p w14:paraId="3F4E871C">
      <w:pPr>
        <w:pStyle w:val="4"/>
        <w:rPr>
          <w:rFonts w:asciiTheme="minorHAnsi" w:hAnsiTheme="minorHAnsi" w:cstheme="minorHAnsi"/>
        </w:rPr>
      </w:pPr>
      <w:r>
        <w:rPr>
          <w:rFonts w:asciiTheme="minorHAnsi" w:hAnsiTheme="minorHAnsi" w:cstheme="minorHAnsi"/>
        </w:rPr>
        <w:t xml:space="preserve">Gender Analysis </w:t>
      </w:r>
    </w:p>
    <w:p w14:paraId="42A22519">
      <w:pPr>
        <w:rPr>
          <w:rFonts w:cstheme="minorHAnsi"/>
          <w:lang w:val="en-GB" w:eastAsia="ja-JP"/>
        </w:rPr>
      </w:pPr>
      <w:r>
        <w:rPr>
          <w:rFonts w:cstheme="minorHAnsi"/>
          <w:lang w:val="en-GB"/>
        </w:rPr>
        <w:t xml:space="preserve">A gender analysis will be prepared to fully consider the different needs, roles, benefits, impacts, risks, differential access to and control over resources of women and men (including considerations of intersecting categories of identity such as age, social status, ethnicity, marital status, etc.) and to identify appropriate measures to address these and promote gender equality and women’s empowerment. See the guidance available </w:t>
      </w:r>
      <w:r>
        <w:fldChar w:fldCharType="begin"/>
      </w:r>
      <w:r>
        <w:instrText xml:space="preserve"> HYPERLINK "https://intranet.undp.org/unit/bpps/sdev/gef/SitePages/Gender.aspx" </w:instrText>
      </w:r>
      <w:r>
        <w:fldChar w:fldCharType="separate"/>
      </w:r>
      <w:r>
        <w:rPr>
          <w:rStyle w:val="30"/>
          <w:rFonts w:cstheme="minorHAnsi"/>
          <w:lang w:val="en-GB"/>
        </w:rPr>
        <w:t>here</w:t>
      </w:r>
      <w:r>
        <w:rPr>
          <w:rStyle w:val="30"/>
          <w:rFonts w:cstheme="minorHAnsi"/>
          <w:lang w:val="en-GB"/>
        </w:rPr>
        <w:fldChar w:fldCharType="end"/>
      </w:r>
      <w:r>
        <w:rPr>
          <w:rFonts w:cstheme="minorHAnsi"/>
          <w:lang w:val="en-GB"/>
        </w:rPr>
        <w:t xml:space="preserve">.  </w:t>
      </w:r>
    </w:p>
    <w:p w14:paraId="61760772">
      <w:pPr>
        <w:rPr>
          <w:rFonts w:cstheme="minorHAnsi"/>
          <w:lang w:val="en-GB"/>
        </w:rPr>
      </w:pPr>
    </w:p>
    <w:p w14:paraId="080898AD">
      <w:pPr>
        <w:pStyle w:val="4"/>
        <w:rPr>
          <w:rFonts w:asciiTheme="minorHAnsi" w:hAnsiTheme="minorHAnsi" w:cstheme="minorHAnsi"/>
        </w:rPr>
      </w:pPr>
      <w:r>
        <w:rPr>
          <w:rFonts w:asciiTheme="minorHAnsi" w:hAnsiTheme="minorHAnsi" w:cstheme="minorHAnsi"/>
        </w:rPr>
        <w:t>Social and Environmental Standards: Screening and Assessments</w:t>
      </w:r>
    </w:p>
    <w:p w14:paraId="4CD5ECC7">
      <w:pPr>
        <w:rPr>
          <w:rFonts w:cstheme="minorHAnsi"/>
          <w:lang w:val="en-GB"/>
        </w:rPr>
      </w:pPr>
      <w:r>
        <w:rPr>
          <w:rFonts w:cstheme="minorHAnsi"/>
          <w:lang w:val="en-GB"/>
        </w:rPr>
        <w:t xml:space="preserve">The social and environmental safeguards pre-screening prepared during the PIF design phase has initially determined the overall risk categorization of this project as </w:t>
      </w:r>
      <w:r>
        <w:rPr>
          <w:rFonts w:cstheme="minorHAnsi"/>
          <w:i/>
          <w:shd w:val="clear" w:color="auto" w:fill="D9E2F3" w:themeFill="accent1" w:themeFillTint="33"/>
          <w:lang w:val="en-GB"/>
        </w:rPr>
        <w:t>Moderate</w:t>
      </w:r>
      <w:r>
        <w:rPr>
          <w:rFonts w:cstheme="minorHAnsi"/>
          <w:lang w:val="en-GB"/>
        </w:rPr>
        <w:t xml:space="preserve"> and highlighted potential safeguards risks to be further assessed during the PPG phase. </w:t>
      </w:r>
    </w:p>
    <w:p w14:paraId="45E97685">
      <w:pPr>
        <w:rPr>
          <w:rFonts w:cstheme="minorHAnsi"/>
          <w:lang w:val="en-GB"/>
        </w:rPr>
      </w:pPr>
    </w:p>
    <w:p w14:paraId="28749932">
      <w:pPr>
        <w:rPr>
          <w:rFonts w:cstheme="minorHAnsi"/>
          <w:lang w:val="en-GB"/>
        </w:rPr>
      </w:pPr>
      <w:r>
        <w:rPr>
          <w:rFonts w:cstheme="minorHAnsi"/>
          <w:lang w:val="en-GB"/>
        </w:rPr>
        <w:t xml:space="preserve">An SES Framework –namely, </w:t>
      </w:r>
      <w:r>
        <w:rPr>
          <w:rFonts w:cstheme="minorHAnsi"/>
          <w:i/>
          <w:iCs/>
          <w:lang w:val="en-GB"/>
        </w:rPr>
        <w:t>a SESP (social and Environmental Screening Procedure), and</w:t>
      </w:r>
      <w:r>
        <w:rPr>
          <w:rFonts w:cstheme="minorHAnsi"/>
          <w:lang w:val="en-GB"/>
        </w:rPr>
        <w:t xml:space="preserve"> </w:t>
      </w:r>
      <w:r>
        <w:rPr>
          <w:rFonts w:cstheme="minorHAnsi"/>
          <w:i/>
          <w:iCs/>
          <w:color w:val="2B579A"/>
          <w:shd w:val="clear" w:color="auto" w:fill="D9E2F3" w:themeFill="accent1" w:themeFillTint="33"/>
          <w:lang w:val="en-GB"/>
        </w:rPr>
        <w:t>Environmental and Social Management Framework (ESMF, supported by a Process Framework and Ethnic Minorities Planning Framework)</w:t>
      </w:r>
      <w:r>
        <w:rPr>
          <w:rFonts w:cstheme="minorHAnsi"/>
          <w:lang w:val="en-GB"/>
        </w:rPr>
        <w:t xml:space="preserve">–will be prepared to ensure that the necessary assessments are carried out and management plans prepared during project implementation. The standard templates are available in the </w:t>
      </w:r>
      <w:r>
        <w:fldChar w:fldCharType="begin"/>
      </w:r>
      <w:r>
        <w:instrText xml:space="preserve"> HYPERLINK "https://ses-toolkit.info.undp.org/" </w:instrText>
      </w:r>
      <w:r>
        <w:fldChar w:fldCharType="separate"/>
      </w:r>
      <w:r>
        <w:rPr>
          <w:rStyle w:val="30"/>
          <w:rFonts w:cstheme="minorHAnsi"/>
          <w:lang w:val="en-GB"/>
        </w:rPr>
        <w:t>UNDP SES Toolkit</w:t>
      </w:r>
      <w:r>
        <w:rPr>
          <w:rStyle w:val="30"/>
          <w:rFonts w:cstheme="minorHAnsi"/>
          <w:lang w:val="en-GB"/>
        </w:rPr>
        <w:fldChar w:fldCharType="end"/>
      </w:r>
      <w:r>
        <w:rPr>
          <w:rFonts w:cstheme="minorHAnsi"/>
          <w:lang w:val="en-GB" w:eastAsia="ja-JP"/>
        </w:rPr>
        <w:t>. The Framework(s) and ProDoc must clearly state that none of the associated project activities will commence until: the assessment(s) have been completed; the required management plan(s) have been prepared, and the plan(s) have been publicly disclosed and approved by the Project Board.</w:t>
      </w:r>
    </w:p>
    <w:p w14:paraId="775A8FEC">
      <w:pPr>
        <w:rPr>
          <w:rFonts w:cstheme="minorHAnsi"/>
          <w:lang w:val="en-GB"/>
        </w:rPr>
      </w:pPr>
      <w:r>
        <w:rPr>
          <w:rFonts w:cstheme="minorHAnsi"/>
          <w:lang w:val="en-GB"/>
        </w:rPr>
        <w:t xml:space="preserve"> </w:t>
      </w:r>
    </w:p>
    <w:p w14:paraId="68504AF1">
      <w:pPr>
        <w:rPr>
          <w:rFonts w:cstheme="minorHAnsi"/>
          <w:lang w:val="en-GB"/>
        </w:rPr>
      </w:pPr>
    </w:p>
    <w:p w14:paraId="6B57E347">
      <w:pPr>
        <w:pStyle w:val="4"/>
        <w:rPr>
          <w:rFonts w:asciiTheme="minorHAnsi" w:hAnsiTheme="minorHAnsi" w:cstheme="minorHAnsi"/>
        </w:rPr>
      </w:pPr>
      <w:r>
        <w:rPr>
          <w:rFonts w:asciiTheme="minorHAnsi" w:hAnsiTheme="minorHAnsi" w:cstheme="minorHAnsi"/>
        </w:rPr>
        <w:t>Identification of project sites</w:t>
      </w:r>
    </w:p>
    <w:p w14:paraId="0F1090DC">
      <w:pPr>
        <w:rPr>
          <w:rFonts w:cstheme="minorHAnsi"/>
          <w:lang w:val="en-GB" w:eastAsia="ja-JP"/>
        </w:rPr>
      </w:pPr>
      <w:r>
        <w:rPr>
          <w:rFonts w:cstheme="minorHAnsi"/>
          <w:lang w:val="en-GB"/>
        </w:rPr>
        <w:t xml:space="preserve">Based on the above reviews and through consultation with stakeholders, </w:t>
      </w:r>
      <w:r>
        <w:rPr>
          <w:rFonts w:cstheme="minorHAnsi"/>
          <w:lang w:val="en-GB" w:eastAsia="ja-JP"/>
        </w:rPr>
        <w:t xml:space="preserve">the four targeted project </w:t>
      </w:r>
      <w:r>
        <w:rPr>
          <w:rFonts w:cstheme="minorHAnsi"/>
          <w:i/>
          <w:shd w:val="clear" w:color="auto" w:fill="D9E2F3" w:themeFill="accent1" w:themeFillTint="33"/>
          <w:lang w:val="en-GB" w:eastAsia="ja-JP"/>
        </w:rPr>
        <w:t>pilot</w:t>
      </w:r>
      <w:r>
        <w:rPr>
          <w:rFonts w:cstheme="minorHAnsi"/>
          <w:lang w:val="en-GB" w:eastAsia="ja-JP"/>
        </w:rPr>
        <w:t xml:space="preserve"> sites will be identified as follows:</w:t>
      </w:r>
    </w:p>
    <w:p w14:paraId="27E995FE">
      <w:pPr>
        <w:pStyle w:val="56"/>
        <w:numPr>
          <w:ilvl w:val="0"/>
          <w:numId w:val="9"/>
        </w:numPr>
        <w:rPr>
          <w:rFonts w:cstheme="minorHAnsi"/>
          <w:lang w:val="en-GB" w:eastAsia="ja-JP"/>
        </w:rPr>
      </w:pPr>
      <w:r>
        <w:rPr>
          <w:rFonts w:cstheme="minorHAnsi"/>
          <w:i/>
          <w:shd w:val="clear" w:color="auto" w:fill="D9E2F3" w:themeFill="accent1" w:themeFillTint="33"/>
          <w:lang w:val="en-GB" w:eastAsia="ja-JP"/>
        </w:rPr>
        <w:t>The target area in Yunnan Province including the Erhai Lake ecosystem;</w:t>
      </w:r>
    </w:p>
    <w:p w14:paraId="25B711EE">
      <w:pPr>
        <w:pStyle w:val="56"/>
        <w:numPr>
          <w:ilvl w:val="0"/>
          <w:numId w:val="9"/>
        </w:numPr>
        <w:rPr>
          <w:rFonts w:cstheme="minorHAnsi"/>
          <w:lang w:val="en-GB" w:eastAsia="ja-JP"/>
        </w:rPr>
      </w:pPr>
      <w:r>
        <w:rPr>
          <w:rFonts w:cstheme="minorHAnsi"/>
          <w:i/>
          <w:iCs/>
          <w:shd w:val="clear" w:color="auto" w:fill="D9E2F3" w:themeFill="accent1" w:themeFillTint="33"/>
          <w:lang w:val="en-GB" w:eastAsia="ja-JP"/>
        </w:rPr>
        <w:t>The target area in Sichuan Province including the Ruoergai Wetland National Nature Reserve</w:t>
      </w:r>
      <w:r>
        <w:rPr>
          <w:rFonts w:eastAsia="宋体" w:cstheme="minorHAnsi"/>
          <w:i/>
          <w:iCs/>
          <w:shd w:val="clear" w:color="auto" w:fill="D9E2F3" w:themeFill="accent1" w:themeFillTint="33"/>
          <w:lang w:val="en-GB" w:eastAsia="zh-CN"/>
        </w:rPr>
        <w:t>;</w:t>
      </w:r>
    </w:p>
    <w:p w14:paraId="3FC8CF03">
      <w:pPr>
        <w:pStyle w:val="56"/>
        <w:numPr>
          <w:ilvl w:val="0"/>
          <w:numId w:val="9"/>
        </w:numPr>
        <w:rPr>
          <w:rFonts w:cstheme="minorHAnsi"/>
          <w:lang w:val="en-GB" w:eastAsia="ja-JP"/>
        </w:rPr>
      </w:pPr>
      <w:r>
        <w:rPr>
          <w:rFonts w:eastAsia="宋体" w:cstheme="minorHAnsi"/>
          <w:i/>
          <w:shd w:val="clear" w:color="auto" w:fill="D9E2F3" w:themeFill="accent1" w:themeFillTint="33"/>
          <w:lang w:val="en-GB" w:eastAsia="zh-CN"/>
        </w:rPr>
        <w:t>T</w:t>
      </w:r>
      <w:r>
        <w:rPr>
          <w:rFonts w:cstheme="minorHAnsi"/>
          <w:i/>
          <w:shd w:val="clear" w:color="auto" w:fill="D9E2F3" w:themeFill="accent1" w:themeFillTint="33"/>
          <w:lang w:val="en-GB" w:eastAsia="ja-JP"/>
        </w:rPr>
        <w:t>he target area in Jiangsu Province including the Yancheng Wetland National Nature Reserve;</w:t>
      </w:r>
    </w:p>
    <w:p w14:paraId="39763CED">
      <w:pPr>
        <w:pStyle w:val="56"/>
        <w:numPr>
          <w:ilvl w:val="0"/>
          <w:numId w:val="9"/>
        </w:numPr>
        <w:rPr>
          <w:rFonts w:cstheme="minorHAnsi"/>
          <w:lang w:val="en-GB" w:eastAsia="ja-JP"/>
        </w:rPr>
      </w:pPr>
      <w:r>
        <w:rPr>
          <w:rFonts w:cstheme="minorHAnsi"/>
          <w:i/>
          <w:shd w:val="clear" w:color="auto" w:fill="D9E2F3" w:themeFill="accent1" w:themeFillTint="33"/>
          <w:lang w:val="en-GB" w:eastAsia="ja-JP"/>
        </w:rPr>
        <w:t>The target area in Zhejiang Province including the Baishanzu National Park.</w:t>
      </w:r>
    </w:p>
    <w:p w14:paraId="7B37AA1B">
      <w:pPr>
        <w:rPr>
          <w:rFonts w:cstheme="minorHAnsi"/>
          <w:lang w:val="en-GB"/>
        </w:rPr>
      </w:pPr>
    </w:p>
    <w:p w14:paraId="2185B510">
      <w:pPr>
        <w:pStyle w:val="4"/>
        <w:rPr>
          <w:rFonts w:asciiTheme="minorHAnsi" w:hAnsiTheme="minorHAnsi" w:cstheme="minorHAnsi"/>
        </w:rPr>
      </w:pPr>
      <w:r>
        <w:rPr>
          <w:rFonts w:asciiTheme="minorHAnsi" w:hAnsiTheme="minorHAnsi" w:cstheme="minorHAnsi"/>
        </w:rPr>
        <w:t>Financial planning, co-financing, and investment mobilized</w:t>
      </w:r>
    </w:p>
    <w:p w14:paraId="217FE5FB">
      <w:pPr>
        <w:rPr>
          <w:rFonts w:cstheme="minorHAnsi"/>
          <w:lang w:val="en-GB"/>
        </w:rPr>
      </w:pPr>
      <w:r>
        <w:rPr>
          <w:rFonts w:cstheme="minorHAnsi"/>
          <w:lang w:val="en-GB"/>
        </w:rPr>
        <w:t>Co-financing and investment mobilized – as defined in the GEF Policy and Guidelines on co-financing - will be confirmed, and additional sources identified through a series of consultations with partners to ensure a coherent and sustainable financing package for the project, including post-GEF grant phase to the extent possible. The GEF is seeking high co-financing/investment mobilized to GEF grant ratios with a preference for grants, loans, and other public investments over in-kind co-financing. The GEF also expects the Government to significantly support the costs associated with project execution (i.e., PMC).</w:t>
      </w:r>
    </w:p>
    <w:p w14:paraId="42A68661">
      <w:pPr>
        <w:rPr>
          <w:rFonts w:cstheme="minorHAnsi"/>
          <w:lang w:val="en-GB"/>
        </w:rPr>
      </w:pPr>
    </w:p>
    <w:p w14:paraId="097E19EC">
      <w:pPr>
        <w:pStyle w:val="4"/>
        <w:rPr>
          <w:rFonts w:asciiTheme="minorHAnsi" w:hAnsiTheme="minorHAnsi" w:cstheme="minorHAnsi"/>
        </w:rPr>
      </w:pPr>
      <w:r>
        <w:rPr>
          <w:rFonts w:asciiTheme="minorHAnsi" w:hAnsiTheme="minorHAnsi" w:cstheme="minorHAnsi"/>
        </w:rPr>
        <w:t>Stakeholder analysis</w:t>
      </w:r>
    </w:p>
    <w:p w14:paraId="45B52EAD">
      <w:pPr>
        <w:rPr>
          <w:rFonts w:cstheme="minorHAnsi"/>
          <w:lang w:val="en-GB"/>
        </w:rPr>
      </w:pPr>
      <w:r>
        <w:rPr>
          <w:rFonts w:cstheme="minorHAnsi"/>
          <w:lang w:val="en-GB"/>
        </w:rPr>
        <w:t xml:space="preserve">Building on the initial identification of stakeholders in the PIF, an appropriately scaled analysis of project stakeholders will be undertaken. This stakeholder analysis will provide the foundation for developing the project’s Stakeholder Engagement Plan (which will incorporate principles of Free, Prior and Informed Consent where applicable) and facilitate the prioritization of engagement activities with particular stakeholder groups and individuals. Projects with pre-screening categorizations of Substantial or High will prepare a </w:t>
      </w:r>
      <w:r>
        <w:rPr>
          <w:rFonts w:cstheme="minorHAnsi"/>
          <w:b/>
          <w:bCs/>
          <w:lang w:val="en-GB"/>
        </w:rPr>
        <w:t>comprehensive</w:t>
      </w:r>
      <w:r>
        <w:rPr>
          <w:rFonts w:cstheme="minorHAnsi"/>
          <w:lang w:val="en-GB"/>
        </w:rPr>
        <w:t xml:space="preserve"> stakeholder analysis. See the </w:t>
      </w:r>
      <w:r>
        <w:fldChar w:fldCharType="begin"/>
      </w:r>
      <w:r>
        <w:instrText xml:space="preserve"> HYPERLINK "https://info.undp.org/sites/bpps/SES_Toolkit/SES%20Document%20Library/Uploaded%20October%202016/UNDP%20SES%20Stakeholder%20Engagement%20GN_Final_rev_July2022.pdf" \h </w:instrText>
      </w:r>
      <w:r>
        <w:fldChar w:fldCharType="separate"/>
      </w:r>
      <w:r>
        <w:rPr>
          <w:rStyle w:val="30"/>
          <w:rFonts w:cstheme="minorHAnsi"/>
          <w:lang w:val="en-GB"/>
        </w:rPr>
        <w:t>UNDP SES Guidance Note on Stakeholder Engagement</w:t>
      </w:r>
      <w:r>
        <w:rPr>
          <w:rStyle w:val="30"/>
          <w:rFonts w:cstheme="minorHAnsi"/>
          <w:lang w:val="en-GB"/>
        </w:rPr>
        <w:fldChar w:fldCharType="end"/>
      </w:r>
      <w:r>
        <w:rPr>
          <w:rFonts w:cstheme="minorHAnsi"/>
          <w:lang w:val="en-GB"/>
        </w:rPr>
        <w:t xml:space="preserve">. </w:t>
      </w:r>
    </w:p>
    <w:p w14:paraId="52CC88AD">
      <w:pPr>
        <w:rPr>
          <w:rFonts w:cstheme="minorHAnsi"/>
          <w:lang w:val="en-GB"/>
        </w:rPr>
      </w:pPr>
    </w:p>
    <w:p w14:paraId="0BA428EC">
      <w:pPr>
        <w:pStyle w:val="4"/>
        <w:rPr>
          <w:rFonts w:asciiTheme="minorHAnsi" w:hAnsiTheme="minorHAnsi" w:cstheme="minorHAnsi"/>
        </w:rPr>
      </w:pPr>
      <w:r>
        <w:rPr>
          <w:rFonts w:asciiTheme="minorHAnsi" w:hAnsiTheme="minorHAnsi" w:cstheme="minorHAnsi"/>
        </w:rPr>
        <w:t xml:space="preserve">Appraise and formulate the most appropriate project implementation and execution modality </w:t>
      </w:r>
    </w:p>
    <w:p w14:paraId="33C29192">
      <w:pPr>
        <w:pStyle w:val="4"/>
        <w:numPr>
          <w:ilvl w:val="0"/>
          <w:numId w:val="0"/>
        </w:numPr>
        <w:ind w:left="360"/>
        <w:rPr>
          <w:rFonts w:asciiTheme="minorHAnsi" w:hAnsiTheme="minorHAnsi" w:cstheme="minorHAnsi"/>
        </w:rPr>
      </w:pPr>
    </w:p>
    <w:p w14:paraId="4A574B7B">
      <w:pPr>
        <w:pStyle w:val="4"/>
        <w:numPr>
          <w:ilvl w:val="0"/>
          <w:numId w:val="0"/>
        </w:numPr>
        <w:rPr>
          <w:rFonts w:asciiTheme="minorHAnsi" w:hAnsiTheme="minorHAnsi" w:cstheme="minorHAnsi"/>
        </w:rPr>
      </w:pPr>
      <w:r>
        <w:rPr>
          <w:rFonts w:asciiTheme="minorHAnsi" w:hAnsiTheme="minorHAnsi" w:cstheme="minorHAnsi"/>
        </w:rPr>
        <w:t xml:space="preserve">The design of the project will comply with the UNDP’s Program and Operations Policy and Procedures (POPP), Financial Regulations, Programme and Project Management and Quality Standards, and UNDP-GEF guidance (which will be provided by the RTA/RTS). A full assessment of the most appropriate project implementation and management arrangements will be conducted in full consultation with the RTA, UNDP Country Office, Resident Representative (or their Deputy), the relevant government coordinating agency, and the GEF OFP.  </w:t>
      </w:r>
    </w:p>
    <w:p w14:paraId="5B824E25">
      <w:pPr>
        <w:rPr>
          <w:rFonts w:cstheme="minorHAnsi"/>
          <w:lang w:val="en-GB"/>
        </w:rPr>
      </w:pPr>
    </w:p>
    <w:p w14:paraId="4E43CCAD">
      <w:pPr>
        <w:rPr>
          <w:rFonts w:cstheme="minorHAnsi"/>
          <w:lang w:val="en-GB"/>
        </w:rPr>
      </w:pPr>
      <w:r>
        <w:rPr>
          <w:rFonts w:cstheme="minorHAnsi"/>
          <w:lang w:val="en-GB"/>
        </w:rPr>
        <w:t xml:space="preserve">Project management arrangements must be discussed and agreed upon early in the PPG phase and an assessment and selection of the most appropriate Implementing Partner and/or third parties (Responsible Parties) with full capacity to execute the project must be carried out. </w:t>
      </w:r>
    </w:p>
    <w:p w14:paraId="30FCCB8B">
      <w:pPr>
        <w:rPr>
          <w:rFonts w:cstheme="minorHAnsi"/>
          <w:lang w:val="en-GB"/>
        </w:rPr>
      </w:pPr>
      <w:r>
        <w:rPr>
          <w:rFonts w:cstheme="minorHAnsi"/>
          <w:lang w:val="en-GB"/>
        </w:rPr>
        <w:t>During the first two months of the PPG phase:</w:t>
      </w:r>
    </w:p>
    <w:p w14:paraId="6D194EC3">
      <w:pPr>
        <w:pStyle w:val="56"/>
        <w:numPr>
          <w:ilvl w:val="0"/>
          <w:numId w:val="10"/>
        </w:numPr>
        <w:rPr>
          <w:rFonts w:cstheme="minorHAnsi"/>
          <w:lang w:val="en-GB"/>
        </w:rPr>
      </w:pPr>
      <w:r>
        <w:rPr>
          <w:rFonts w:cstheme="minorHAnsi"/>
          <w:lang w:val="en-GB"/>
        </w:rPr>
        <w:t>For all potential Implementing Partners, carry out capacity assessments to assess their capacity to implement the project and assess all related risks. This must include HACT and PCAT assessments</w:t>
      </w:r>
      <w:r>
        <w:rPr>
          <w:rFonts w:cstheme="minorHAnsi"/>
          <w:vertAlign w:val="superscript"/>
          <w:lang w:val="en-GB"/>
        </w:rPr>
        <w:footnoteReference w:id="2"/>
      </w:r>
      <w:r>
        <w:rPr>
          <w:rFonts w:cstheme="minorHAnsi"/>
          <w:lang w:val="en-GB"/>
        </w:rPr>
        <w:t>.</w:t>
      </w:r>
    </w:p>
    <w:p w14:paraId="7EEF82AD">
      <w:pPr>
        <w:pStyle w:val="56"/>
        <w:numPr>
          <w:ilvl w:val="0"/>
          <w:numId w:val="10"/>
        </w:numPr>
        <w:rPr>
          <w:rFonts w:cstheme="minorHAnsi"/>
          <w:lang w:val="en-GB"/>
        </w:rPr>
      </w:pPr>
      <w:r>
        <w:rPr>
          <w:rFonts w:cstheme="minorHAnsi"/>
          <w:lang w:val="en-GB"/>
        </w:rPr>
        <w:t>Discuss the level of co-financing the Government and Implementing Partner can commit to this project. As per GEF Policy, the GEF is seeking high co-financing to GEF grant ratios and expects the Government to significantly support the costs associated with project execution (i.e., PMC) for this project.</w:t>
      </w:r>
    </w:p>
    <w:p w14:paraId="45752028">
      <w:pPr>
        <w:pStyle w:val="56"/>
        <w:numPr>
          <w:ilvl w:val="0"/>
          <w:numId w:val="10"/>
        </w:numPr>
        <w:rPr>
          <w:rFonts w:cstheme="minorHAnsi"/>
          <w:lang w:val="en-GB"/>
        </w:rPr>
      </w:pPr>
      <w:r>
        <w:rPr>
          <w:rFonts w:cstheme="minorHAnsi"/>
          <w:lang w:val="en-GB"/>
        </w:rPr>
        <w:t xml:space="preserve">Based on these assessments, select and confirm the Implementing Partner for the project in consultation with all relevant stakeholders. The selected Implementing Partner must express willingness to serve as the Implementing Partner for the Project, and the concerned government must agree to use the selected Implementing Partner for the Project. (Please see </w:t>
      </w:r>
      <w:r>
        <w:fldChar w:fldCharType="begin"/>
      </w:r>
      <w:r>
        <w:instrText xml:space="preserve"> HYPERLINK "https://popp.undp.org/UNDP_POPP_DOCUMENT_LIBRARY/Public/PPM_Design_Select%20Implementation%20Partner.docx?web=1" </w:instrText>
      </w:r>
      <w:r>
        <w:fldChar w:fldCharType="separate"/>
      </w:r>
      <w:r>
        <w:rPr>
          <w:rStyle w:val="30"/>
          <w:rFonts w:cstheme="minorHAnsi"/>
          <w:lang w:val="en-GB"/>
        </w:rPr>
        <w:t>UNDP’s Policy on Selecting Implementing Partners</w:t>
      </w:r>
      <w:r>
        <w:rPr>
          <w:rStyle w:val="30"/>
          <w:rFonts w:cstheme="minorHAnsi"/>
          <w:lang w:val="en-GB"/>
        </w:rPr>
        <w:fldChar w:fldCharType="end"/>
      </w:r>
      <w:r>
        <w:rPr>
          <w:rFonts w:cstheme="minorHAnsi"/>
          <w:lang w:val="en-GB"/>
        </w:rPr>
        <w:t xml:space="preserve">). </w:t>
      </w:r>
    </w:p>
    <w:p w14:paraId="395F7B5E">
      <w:pPr>
        <w:pStyle w:val="56"/>
        <w:numPr>
          <w:ilvl w:val="0"/>
          <w:numId w:val="10"/>
        </w:numPr>
        <w:rPr>
          <w:rFonts w:cstheme="minorHAnsi"/>
          <w:lang w:val="en-GB"/>
        </w:rPr>
      </w:pPr>
      <w:r>
        <w:rPr>
          <w:rFonts w:cstheme="minorHAnsi"/>
          <w:lang w:val="en-GB"/>
        </w:rPr>
        <w:t>If the Implementing Partner does not have full capacity to execute the project, and execution support is likely needed, discuss with the UNDP Resident Representative whether Implementing Partner is the correct choice. If not, select another Implementing Partner, if possible. If that is not an option, explore alternative options for providing execution support via Responsible Parties (</w:t>
      </w:r>
      <w:r>
        <w:fldChar w:fldCharType="begin"/>
      </w:r>
      <w:r>
        <w:instrText xml:space="preserve"> HYPERLINK "file:///C:\\node\\1441" \h </w:instrText>
      </w:r>
      <w:r>
        <w:fldChar w:fldCharType="separate"/>
      </w:r>
      <w:r>
        <w:rPr>
          <w:rStyle w:val="30"/>
          <w:rFonts w:cstheme="minorHAnsi"/>
          <w:lang w:val="en-GB"/>
        </w:rPr>
        <w:t>see UNDP Policy on Selecting Responsible Parties</w:t>
      </w:r>
      <w:r>
        <w:rPr>
          <w:rStyle w:val="30"/>
          <w:rFonts w:cstheme="minorHAnsi"/>
          <w:lang w:val="en-GB"/>
        </w:rPr>
        <w:fldChar w:fldCharType="end"/>
      </w:r>
      <w:r>
        <w:rPr>
          <w:rFonts w:cstheme="minorHAnsi"/>
          <w:lang w:val="en-GB"/>
        </w:rPr>
        <w:t xml:space="preserve">). Discuss with the Implementing Partner the role of the responsible parties in project execution and the execution support these parties could provide. </w:t>
      </w:r>
    </w:p>
    <w:p w14:paraId="2849DF7A">
      <w:pPr>
        <w:pStyle w:val="56"/>
        <w:numPr>
          <w:ilvl w:val="0"/>
          <w:numId w:val="10"/>
        </w:numPr>
        <w:rPr>
          <w:rFonts w:cstheme="minorHAnsi"/>
          <w:lang w:val="en-GB"/>
        </w:rPr>
      </w:pPr>
      <w:r>
        <w:rPr>
          <w:rFonts w:cstheme="minorHAnsi"/>
          <w:lang w:val="en-GB"/>
        </w:rPr>
        <w:t xml:space="preserve">The </w:t>
      </w:r>
      <w:r>
        <w:fldChar w:fldCharType="begin"/>
      </w:r>
      <w:r>
        <w:instrText xml:space="preserve"> HYPERLINK "https://www.thegef.org/sites/default/files/documents/gef_minimum_fiduciary_standards_partner_agencies_2019.pdf" </w:instrText>
      </w:r>
      <w:r>
        <w:fldChar w:fldCharType="separate"/>
      </w:r>
      <w:r>
        <w:rPr>
          <w:rStyle w:val="30"/>
          <w:rFonts w:cstheme="minorHAnsi"/>
          <w:lang w:val="en-GB"/>
        </w:rPr>
        <w:t>GEF Policies on Minimum Fiduciary Standards</w:t>
      </w:r>
      <w:r>
        <w:rPr>
          <w:rStyle w:val="30"/>
          <w:rFonts w:cstheme="minorHAnsi"/>
          <w:lang w:val="en-GB"/>
        </w:rPr>
        <w:fldChar w:fldCharType="end"/>
      </w:r>
      <w:r>
        <w:rPr>
          <w:rFonts w:cstheme="minorHAnsi"/>
          <w:lang w:val="en-GB"/>
        </w:rPr>
        <w:t xml:space="preserve"> require a separation of functions between project implementation (i.e., oversight) and project execution (which generally includes managing and administrating the day-to-day activities of projects in accordance with the legal agreements with the GEF). Oversight activities are the primary responsibility of the GEF Agency (i.e., UNDP). In contrast, the execution activities are the responsibility of the Executing Entity (i.e., the Implementing Partner and/or Responsible Party in UNDP terminology). While UNDP policy offers the possibility for UNDP to provide execution support to NIM or execute the project under a DIM modality in case there is a government request for such support, GEF policy only allows GEF Agencies to step into an execution role in ‘exceptional circumstances', which are assessed on a case-by-case basis. Hence, whenever a project involves GEF funding, the exceptional circumstances where there is a clear and well-founded rationale for UNDP to perform certain execution functions</w:t>
      </w:r>
      <w:r>
        <w:rPr>
          <w:rFonts w:cstheme="minorHAnsi"/>
          <w:b/>
          <w:bCs/>
          <w:lang w:val="en-GB"/>
        </w:rPr>
        <w:t xml:space="preserve"> should always be well documented and transparently disclosed, discussed, and agreed upon with the GEF Secretariat at the project concept (PIF) stage before CEO Endorsement, regardless of whether the execution services are intended to be funded from the GEF grant or non-GEF resources. </w:t>
      </w:r>
      <w:r>
        <w:rPr>
          <w:rFonts w:cstheme="minorHAnsi"/>
          <w:lang w:val="en-GB"/>
        </w:rPr>
        <w:t xml:space="preserve">See the </w:t>
      </w:r>
      <w:r>
        <w:fldChar w:fldCharType="begin"/>
      </w:r>
      <w:r>
        <w:instrText xml:space="preserve"> HYPERLINK "https://eur03.safelinks.protection.outlook.com/?url=https%3A%2F%2Fpopp.undp.org%2FUNDP_POPP_DOCUMENT_LIBRARY%2FPublic%2FPPM_UNDP%2520annotated%2520Project%2520Document%2520for%2520projects%2520financed%2520by%2520GEF%2520Trust%2520Funds.docx&amp;data=05%7C01%7Cjihyea.kim%40undp.org%7Cf1c03d4b69584b35efd408db5df1a532%7Cb3e5db5e2944483799f57488ace54319%7C0%7C0%7C638207064660544099%7CUnknown%7CTWFpbGZsb3d8eyJWIjoiMC4wLjAwMDAiLCJQIjoiV2luMzIiLCJBTiI6Ik1haWwiLCJXVCI6Mn0%3D%7C3000%7C%7C%7C&amp;sdata=JDKfgjnPlOvt91PlatVgs6zdCAu3I9ZBR%2BpBzTmS5T4%3D&amp;reserved=0" </w:instrText>
      </w:r>
      <w:r>
        <w:fldChar w:fldCharType="separate"/>
      </w:r>
      <w:r>
        <w:rPr>
          <w:rStyle w:val="30"/>
          <w:rFonts w:cstheme="minorHAnsi"/>
          <w:lang w:val="en-GB"/>
        </w:rPr>
        <w:t>UNDP-GEF ProDoc template</w:t>
      </w:r>
      <w:r>
        <w:rPr>
          <w:rStyle w:val="30"/>
          <w:rFonts w:cstheme="minorHAnsi"/>
          <w:lang w:val="en-GB"/>
        </w:rPr>
        <w:fldChar w:fldCharType="end"/>
      </w:r>
      <w:r>
        <w:rPr>
          <w:rFonts w:cstheme="minorHAnsi"/>
          <w:lang w:val="en-GB"/>
        </w:rPr>
        <w:t xml:space="preserve"> guidance for further information.</w:t>
      </w:r>
    </w:p>
    <w:p w14:paraId="1F0CA103">
      <w:pPr>
        <w:pStyle w:val="56"/>
        <w:numPr>
          <w:ilvl w:val="0"/>
          <w:numId w:val="10"/>
        </w:numPr>
        <w:rPr>
          <w:rFonts w:cstheme="minorHAnsi"/>
          <w:lang w:val="en-GB"/>
        </w:rPr>
      </w:pPr>
      <w:r>
        <w:rPr>
          <w:rFonts w:cstheme="minorHAnsi"/>
          <w:lang w:val="en-GB"/>
        </w:rPr>
        <w:t>Consult with the RTA/RTS on the latest guidance regarding UNDP providing support services to the Implementing Partner. If the costs for UNDP to provide support services are to be charged to the GEF project budget, the UNDP support services must be approved by the GEF Secretariat before CEO endorsement.</w:t>
      </w:r>
    </w:p>
    <w:p w14:paraId="5884D8E0">
      <w:pPr>
        <w:pStyle w:val="56"/>
        <w:numPr>
          <w:ilvl w:val="0"/>
          <w:numId w:val="10"/>
        </w:numPr>
        <w:rPr>
          <w:rFonts w:cstheme="minorHAnsi"/>
          <w:lang w:val="en-GB"/>
        </w:rPr>
      </w:pPr>
      <w:r>
        <w:rPr>
          <w:rFonts w:cstheme="minorHAnsi"/>
          <w:lang w:val="en-GB"/>
        </w:rPr>
        <w:t>Consult with CO Head of Procurement Unit/Operations Manager and Regional Procurement Advisors on envisaged procurement/contracting project procurement requirements, identified risks, development of optimal procurement strategies, development of project procurement plans and opportunities to incorporate sustainable procurement considerations and indicators to the project.</w:t>
      </w:r>
    </w:p>
    <w:p w14:paraId="4289BE17">
      <w:pPr>
        <w:rPr>
          <w:rFonts w:cstheme="minorHAnsi"/>
          <w:highlight w:val="yellow"/>
          <w:lang w:val="en-GB"/>
        </w:rPr>
      </w:pPr>
    </w:p>
    <w:p w14:paraId="508BFFB3">
      <w:pPr>
        <w:pStyle w:val="4"/>
        <w:rPr>
          <w:rFonts w:asciiTheme="minorHAnsi" w:hAnsiTheme="minorHAnsi" w:cstheme="minorHAnsi"/>
        </w:rPr>
      </w:pPr>
      <w:r>
        <w:rPr>
          <w:rFonts w:asciiTheme="minorHAnsi" w:hAnsiTheme="minorHAnsi" w:cstheme="minorHAnsi"/>
        </w:rPr>
        <w:t>Other required studies</w:t>
      </w:r>
    </w:p>
    <w:p w14:paraId="25DD6320">
      <w:pPr>
        <w:pStyle w:val="3"/>
        <w:rPr>
          <w:rFonts w:asciiTheme="minorHAnsi" w:hAnsiTheme="minorHAnsi" w:cstheme="minorHAnsi"/>
          <w:lang w:eastAsia="ja-JP"/>
        </w:rPr>
      </w:pPr>
      <w:bookmarkStart w:id="4" w:name="_Toc8832254"/>
      <w:r>
        <w:rPr>
          <w:rFonts w:asciiTheme="minorHAnsi" w:hAnsiTheme="minorHAnsi" w:cstheme="minorHAnsi"/>
          <w:lang w:eastAsia="ja-JP"/>
        </w:rPr>
        <w:t>Component B: Formulation of the UNDP-GEF Project Document, CEO Endorsement Request, and Mandatory and Project Specific Annexes</w:t>
      </w:r>
      <w:bookmarkEnd w:id="4"/>
    </w:p>
    <w:p w14:paraId="3CB93E90">
      <w:pPr>
        <w:rPr>
          <w:rFonts w:cstheme="minorHAnsi"/>
          <w:lang w:val="en-GB" w:eastAsia="ja-JP"/>
        </w:rPr>
      </w:pPr>
      <w:r>
        <w:rPr>
          <w:rFonts w:cstheme="minorHAnsi"/>
          <w:lang w:val="en-GB" w:eastAsia="ja-JP"/>
        </w:rPr>
        <w:t xml:space="preserve">Based on the technical studies and reviews undertaken under </w:t>
      </w:r>
      <w:r>
        <w:rPr>
          <w:rFonts w:cstheme="minorHAnsi"/>
          <w:b/>
          <w:bCs/>
          <w:lang w:val="en-GB" w:eastAsia="ja-JP"/>
        </w:rPr>
        <w:t>Component A</w:t>
      </w:r>
      <w:r>
        <w:rPr>
          <w:rFonts w:cstheme="minorHAnsi"/>
          <w:lang w:val="en-GB" w:eastAsia="ja-JP"/>
        </w:rPr>
        <w:t>, the UNDP-GEF Project Document will be developed, and the GEF CEO Endorsement Request will be prepared. See additional guidance notes below.</w:t>
      </w:r>
    </w:p>
    <w:p w14:paraId="15E17615">
      <w:pPr>
        <w:rPr>
          <w:rFonts w:cstheme="minorHAnsi"/>
          <w:lang w:val="en-GB" w:eastAsia="ja-JP"/>
        </w:rPr>
      </w:pPr>
    </w:p>
    <w:p w14:paraId="057BBF0D">
      <w:pPr>
        <w:rPr>
          <w:rFonts w:cstheme="minorHAnsi"/>
          <w:lang w:val="en-GB" w:eastAsia="ja-JP"/>
        </w:rPr>
      </w:pPr>
      <w:r>
        <w:rPr>
          <w:rFonts w:cstheme="minorHAnsi"/>
          <w:lang w:val="en-GB" w:eastAsia="ja-JP"/>
        </w:rPr>
        <w:t xml:space="preserve">The GEF PPG Team Leader will be responsible for consolidating and finalizing all required materials. </w:t>
      </w:r>
    </w:p>
    <w:p w14:paraId="775D0AC5">
      <w:pPr>
        <w:rPr>
          <w:rFonts w:cstheme="minorHAnsi"/>
          <w:lang w:val="en-GB" w:eastAsia="zh-CN"/>
        </w:rPr>
      </w:pPr>
    </w:p>
    <w:p w14:paraId="4773187C">
      <w:pPr>
        <w:pStyle w:val="4"/>
        <w:numPr>
          <w:ilvl w:val="0"/>
          <w:numId w:val="11"/>
        </w:numPr>
        <w:rPr>
          <w:rFonts w:asciiTheme="minorHAnsi" w:hAnsiTheme="minorHAnsi" w:cstheme="minorHAnsi"/>
          <w:lang w:eastAsia="ja-JP"/>
        </w:rPr>
      </w:pPr>
      <w:r>
        <w:rPr>
          <w:rFonts w:asciiTheme="minorHAnsi" w:hAnsiTheme="minorHAnsi" w:cstheme="minorHAnsi"/>
          <w:lang w:eastAsia="ja-JP"/>
        </w:rPr>
        <w:t xml:space="preserve">Stakeholder Engagement Plan: </w:t>
      </w:r>
    </w:p>
    <w:p w14:paraId="257F1CB3">
      <w:pPr>
        <w:rPr>
          <w:rFonts w:cstheme="minorHAnsi"/>
          <w:lang w:val="en-GB" w:eastAsia="ja-JP"/>
        </w:rPr>
      </w:pPr>
      <w:r>
        <w:rPr>
          <w:rFonts w:cstheme="minorHAnsi"/>
          <w:lang w:val="en-GB" w:eastAsia="ja-JP"/>
        </w:rPr>
        <w:t>At a minimum, the Plan must include the following elements:</w:t>
      </w:r>
    </w:p>
    <w:p w14:paraId="187CB5BA">
      <w:pPr>
        <w:pStyle w:val="56"/>
        <w:numPr>
          <w:ilvl w:val="0"/>
          <w:numId w:val="12"/>
        </w:numPr>
        <w:rPr>
          <w:rFonts w:cstheme="minorHAnsi"/>
          <w:lang w:val="en-GB" w:eastAsia="ja-JP"/>
        </w:rPr>
      </w:pPr>
      <w:r>
        <w:rPr>
          <w:rFonts w:cstheme="minorHAnsi"/>
          <w:lang w:val="en-GB" w:eastAsia="ja-JP"/>
        </w:rPr>
        <w:t>Stakeholders who have been and will be engaged (based on stakeholder analysis), including potentially marginalized or disadvantaged groups/individuals and stakeholders that will be involved in particular project outputs/activities (the ‘who’);</w:t>
      </w:r>
    </w:p>
    <w:p w14:paraId="03546AFA">
      <w:pPr>
        <w:pStyle w:val="56"/>
        <w:numPr>
          <w:ilvl w:val="0"/>
          <w:numId w:val="12"/>
        </w:numPr>
        <w:rPr>
          <w:rFonts w:cstheme="minorHAnsi"/>
          <w:lang w:val="en-GB" w:eastAsia="ja-JP"/>
        </w:rPr>
      </w:pPr>
      <w:r>
        <w:rPr>
          <w:rFonts w:cstheme="minorHAnsi"/>
          <w:lang w:val="en-GB" w:eastAsia="ja-JP"/>
        </w:rPr>
        <w:t>Key stakeholder objectives and interests (the ‘why’);</w:t>
      </w:r>
    </w:p>
    <w:p w14:paraId="5898BA75">
      <w:pPr>
        <w:pStyle w:val="56"/>
        <w:numPr>
          <w:ilvl w:val="0"/>
          <w:numId w:val="12"/>
        </w:numPr>
        <w:rPr>
          <w:rFonts w:cstheme="minorHAnsi"/>
          <w:lang w:val="en-GB" w:eastAsia="ja-JP"/>
        </w:rPr>
      </w:pPr>
      <w:r>
        <w:rPr>
          <w:rFonts w:cstheme="minorHAnsi"/>
          <w:lang w:val="en-GB" w:eastAsia="ja-JP"/>
        </w:rPr>
        <w:t>Steps and actions to achieve meaningful consultation and inclusive participation, including information dissemination and any special measures required to ensure inclusive participation of marginalized disadvantaged groups/individuals the dissemination of information (the ‘how’);</w:t>
      </w:r>
    </w:p>
    <w:p w14:paraId="7635F8D7">
      <w:pPr>
        <w:pStyle w:val="56"/>
        <w:numPr>
          <w:ilvl w:val="0"/>
          <w:numId w:val="12"/>
        </w:numPr>
        <w:rPr>
          <w:rFonts w:cstheme="minorHAnsi"/>
          <w:lang w:val="en-GB" w:eastAsia="ja-JP"/>
        </w:rPr>
      </w:pPr>
      <w:r>
        <w:rPr>
          <w:rFonts w:cstheme="minorHAnsi"/>
          <w:lang w:val="en-GB" w:eastAsia="ja-JP"/>
        </w:rPr>
        <w:t>Breadth and depth of stakeholder engagement throughout the project cycle and decisions that need to be made through stakeholder engagement (the ‘what’);</w:t>
      </w:r>
    </w:p>
    <w:p w14:paraId="0F9834E3">
      <w:pPr>
        <w:pStyle w:val="56"/>
        <w:numPr>
          <w:ilvl w:val="0"/>
          <w:numId w:val="12"/>
        </w:numPr>
        <w:rPr>
          <w:rFonts w:cstheme="minorHAnsi"/>
          <w:lang w:val="en-GB" w:eastAsia="ja-JP"/>
        </w:rPr>
      </w:pPr>
      <w:r>
        <w:rPr>
          <w:rFonts w:cstheme="minorHAnsi"/>
          <w:lang w:val="en-GB" w:eastAsia="ja-JP"/>
        </w:rPr>
        <w:t>Timeline for engagement activities and how they will be sequenced, including information disclosure (the ‘when’);</w:t>
      </w:r>
    </w:p>
    <w:p w14:paraId="5D31A7C7">
      <w:pPr>
        <w:pStyle w:val="56"/>
        <w:numPr>
          <w:ilvl w:val="0"/>
          <w:numId w:val="12"/>
        </w:numPr>
        <w:rPr>
          <w:rFonts w:cstheme="minorHAnsi"/>
          <w:lang w:val="en-GB" w:eastAsia="ja-JP"/>
        </w:rPr>
      </w:pPr>
      <w:r>
        <w:rPr>
          <w:rFonts w:cstheme="minorHAnsi"/>
          <w:lang w:val="en-GB" w:eastAsia="ja-JP"/>
        </w:rPr>
        <w:t xml:space="preserve">Indicators of stakeholder engagement and monitoring plan on progress and issues that arise; </w:t>
      </w:r>
    </w:p>
    <w:p w14:paraId="54FE69CA">
      <w:pPr>
        <w:pStyle w:val="56"/>
        <w:numPr>
          <w:ilvl w:val="0"/>
          <w:numId w:val="12"/>
        </w:numPr>
        <w:rPr>
          <w:rFonts w:cstheme="minorHAnsi"/>
          <w:lang w:val="en-GB" w:eastAsia="ja-JP"/>
        </w:rPr>
      </w:pPr>
      <w:r>
        <w:rPr>
          <w:rFonts w:cstheme="minorHAnsi"/>
          <w:lang w:val="en-GB" w:eastAsia="ja-JP"/>
        </w:rPr>
        <w:t xml:space="preserve">Roles and responsibilities for ensuring effective stakeholder engagement through the implementation of the Plan, including the role of stakeholder representatives and whether stakeholder engagement facilitators are required; and </w:t>
      </w:r>
    </w:p>
    <w:p w14:paraId="3F2D44D2">
      <w:pPr>
        <w:pStyle w:val="56"/>
        <w:numPr>
          <w:ilvl w:val="0"/>
          <w:numId w:val="12"/>
        </w:numPr>
        <w:rPr>
          <w:rFonts w:cstheme="minorHAnsi"/>
          <w:lang w:val="en-GB" w:eastAsia="ja-JP"/>
        </w:rPr>
      </w:pPr>
      <w:r>
        <w:rPr>
          <w:rFonts w:cstheme="minorHAnsi"/>
          <w:lang w:val="en-GB" w:eastAsia="ja-JP"/>
        </w:rPr>
        <w:t xml:space="preserve">Resource requirements and associated budget. </w:t>
      </w:r>
    </w:p>
    <w:p w14:paraId="517781C1">
      <w:pPr>
        <w:numPr>
          <w:ilvl w:val="0"/>
          <w:numId w:val="13"/>
        </w:numPr>
        <w:rPr>
          <w:lang w:val="en-GB" w:eastAsia="ja-JP"/>
        </w:rPr>
      </w:pPr>
      <w:r>
        <w:rPr>
          <w:lang w:val="en-GB" w:eastAsia="ja-JP"/>
        </w:rPr>
        <w:t xml:space="preserve">A project-level Grievance Redress Mechanism (GRM) will be described in the Stakeholder Engagement Plan and established in the first year of project implementation. See the UNDP </w:t>
      </w:r>
      <w:r>
        <w:fldChar w:fldCharType="begin"/>
      </w:r>
      <w:r>
        <w:instrText xml:space="preserve"> HYPERLINK "https://info.undp.org/sites/bpps/SES_Toolkit/SES%20Document%20Library/Uploaded%20October%202016/UNDP%20SES%20Supplemental%20Guidance_Grievance%20Redress%20Mechanisms.pdf" \h </w:instrText>
      </w:r>
      <w:r>
        <w:fldChar w:fldCharType="separate"/>
      </w:r>
      <w:r>
        <w:rPr>
          <w:rStyle w:val="30"/>
          <w:lang w:val="en-GB" w:eastAsia="ja-JP"/>
        </w:rPr>
        <w:t>guidance on GRM</w:t>
      </w:r>
      <w:r>
        <w:rPr>
          <w:rStyle w:val="30"/>
          <w:lang w:val="en-GB" w:eastAsia="ja-JP"/>
        </w:rPr>
        <w:fldChar w:fldCharType="end"/>
      </w:r>
      <w:r>
        <w:rPr>
          <w:lang w:val="en-GB" w:eastAsia="ja-JP"/>
        </w:rPr>
        <w:t xml:space="preserve"> and </w:t>
      </w:r>
      <w:r>
        <w:fldChar w:fldCharType="begin"/>
      </w:r>
      <w:r>
        <w:instrText xml:space="preserve"> HYPERLINK "https://info.undp.org/sites/bpps/SES_Toolkit/SES%20Document%20Library/Uploaded%20October%202016/Sample%20Terms%20of%20Reference%20-%20Project-level%20Grievance%20Redress%20Mechanism.docx" \h </w:instrText>
      </w:r>
      <w:r>
        <w:fldChar w:fldCharType="separate"/>
      </w:r>
      <w:r>
        <w:rPr>
          <w:rStyle w:val="30"/>
          <w:lang w:val="en-GB" w:eastAsia="ja-JP"/>
        </w:rPr>
        <w:t>sample TOR</w:t>
      </w:r>
      <w:r>
        <w:rPr>
          <w:rStyle w:val="30"/>
          <w:lang w:val="en-GB" w:eastAsia="ja-JP"/>
        </w:rPr>
        <w:fldChar w:fldCharType="end"/>
      </w:r>
      <w:r>
        <w:rPr>
          <w:lang w:val="en-GB" w:eastAsia="ja-JP"/>
        </w:rPr>
        <w:t xml:space="preserve">. </w:t>
      </w:r>
    </w:p>
    <w:p w14:paraId="1B62AB30">
      <w:pPr>
        <w:rPr>
          <w:rFonts w:cstheme="minorHAnsi"/>
          <w:lang w:val="en-GB" w:eastAsia="ja-JP"/>
        </w:rPr>
      </w:pPr>
    </w:p>
    <w:p w14:paraId="334E111A">
      <w:pPr>
        <w:rPr>
          <w:rFonts w:cstheme="minorHAnsi"/>
          <w:lang w:val="en-GB" w:eastAsia="ja-JP"/>
        </w:rPr>
      </w:pPr>
      <w:r>
        <w:rPr>
          <w:rFonts w:cstheme="minorHAnsi"/>
          <w:lang w:val="en-GB" w:eastAsia="ja-JP"/>
        </w:rPr>
        <w:t>See the</w:t>
      </w:r>
      <w:r>
        <w:rPr>
          <w:rStyle w:val="30"/>
          <w:rFonts w:cstheme="minorHAnsi"/>
        </w:rPr>
        <w:t xml:space="preserve"> </w:t>
      </w:r>
      <w:r>
        <w:fldChar w:fldCharType="begin"/>
      </w:r>
      <w:r>
        <w:instrText xml:space="preserve"> HYPERLINK "https://info.undp.org/sites/bpps/SES_Toolkit/Pages/Guidance-and-Templates.aspx" </w:instrText>
      </w:r>
      <w:r>
        <w:fldChar w:fldCharType="separate"/>
      </w:r>
      <w:r>
        <w:rPr>
          <w:rStyle w:val="30"/>
          <w:rFonts w:cstheme="minorHAnsi"/>
        </w:rPr>
        <w:t>U</w:t>
      </w:r>
      <w:r>
        <w:rPr>
          <w:rStyle w:val="30"/>
          <w:rFonts w:cstheme="minorHAnsi"/>
          <w:lang w:val="en-GB" w:eastAsia="ja-JP"/>
        </w:rPr>
        <w:t>NDP SES Toolkit</w:t>
      </w:r>
      <w:r>
        <w:rPr>
          <w:rStyle w:val="30"/>
          <w:rFonts w:cstheme="minorHAnsi"/>
          <w:lang w:val="en-GB" w:eastAsia="ja-JP"/>
        </w:rPr>
        <w:fldChar w:fldCharType="end"/>
      </w:r>
      <w:r>
        <w:rPr>
          <w:rStyle w:val="30"/>
          <w:rFonts w:cstheme="minorHAnsi"/>
        </w:rPr>
        <w:t>,</w:t>
      </w:r>
      <w:r>
        <w:rPr>
          <w:rFonts w:cstheme="minorHAnsi"/>
          <w:lang w:val="en-GB" w:eastAsia="ja-JP"/>
        </w:rPr>
        <w:t xml:space="preserve"> which contains guidance on Stakeholder Engagement, the standard SEP template, and the </w:t>
      </w:r>
      <w:r>
        <w:fldChar w:fldCharType="begin"/>
      </w:r>
      <w:r>
        <w:instrText xml:space="preserve"> HYPERLINK "https://www.thegef.org/sites/default/files/documents/Stakeholder_Engagement_Guidelines.pdf" </w:instrText>
      </w:r>
      <w:r>
        <w:fldChar w:fldCharType="separate"/>
      </w:r>
      <w:r>
        <w:rPr>
          <w:rStyle w:val="30"/>
          <w:rFonts w:cstheme="minorHAnsi"/>
          <w:lang w:val="en-GB" w:eastAsia="ja-JP"/>
        </w:rPr>
        <w:t>GEF guidelines on stakeholder engagement</w:t>
      </w:r>
      <w:r>
        <w:rPr>
          <w:rStyle w:val="30"/>
          <w:rFonts w:cstheme="minorHAnsi"/>
          <w:lang w:val="en-GB" w:eastAsia="ja-JP"/>
        </w:rPr>
        <w:fldChar w:fldCharType="end"/>
      </w:r>
      <w:r>
        <w:rPr>
          <w:rFonts w:cstheme="minorHAnsi"/>
          <w:lang w:val="en-GB" w:eastAsia="ja-JP"/>
        </w:rPr>
        <w:t xml:space="preserve">. </w:t>
      </w:r>
    </w:p>
    <w:p w14:paraId="54F2E2EB">
      <w:pPr>
        <w:rPr>
          <w:rFonts w:cstheme="minorHAnsi"/>
          <w:lang w:val="en-GB" w:eastAsia="ja-JP"/>
        </w:rPr>
      </w:pPr>
    </w:p>
    <w:p w14:paraId="04F82E5C">
      <w:pPr>
        <w:pStyle w:val="4"/>
        <w:rPr>
          <w:rFonts w:asciiTheme="minorHAnsi" w:hAnsiTheme="minorHAnsi" w:cstheme="minorHAnsi"/>
          <w:lang w:eastAsia="ja-JP"/>
        </w:rPr>
      </w:pPr>
      <w:r>
        <w:rPr>
          <w:rFonts w:asciiTheme="minorHAnsi" w:hAnsiTheme="minorHAnsi" w:cstheme="minorHAnsi"/>
          <w:lang w:eastAsia="ja-JP"/>
        </w:rPr>
        <w:t>Gender Action Plan and Budget</w:t>
      </w:r>
    </w:p>
    <w:p w14:paraId="401742DC">
      <w:pPr>
        <w:rPr>
          <w:rFonts w:cstheme="minorHAnsi"/>
          <w:lang w:val="en-GB" w:eastAsia="ja-JP"/>
        </w:rPr>
      </w:pPr>
      <w:r>
        <w:rPr>
          <w:rFonts w:cstheme="minorHAnsi"/>
          <w:lang w:val="en-GB"/>
        </w:rPr>
        <w:t xml:space="preserve">The gender analysis </w:t>
      </w:r>
      <w:r>
        <w:rPr>
          <w:rFonts w:cstheme="minorHAnsi"/>
          <w:lang w:val="en-GB" w:eastAsia="ja-JP"/>
        </w:rPr>
        <w:t xml:space="preserve">conducted in </w:t>
      </w:r>
      <w:r>
        <w:rPr>
          <w:rFonts w:cstheme="minorHAnsi"/>
          <w:b/>
          <w:lang w:val="en-GB" w:eastAsia="ja-JP"/>
        </w:rPr>
        <w:t>Component A,</w:t>
      </w:r>
      <w:r>
        <w:rPr>
          <w:rFonts w:cstheme="minorHAnsi"/>
          <w:lang w:val="en-GB"/>
        </w:rPr>
        <w:t xml:space="preserve"> along with relevant findings from the stakeholder analysis and background studies, will form the basis of a Gender Action Plan to guide gender mainstreaming during project implementation. </w:t>
      </w:r>
      <w:r>
        <w:rPr>
          <w:rFonts w:cstheme="minorHAnsi"/>
          <w:lang w:val="en-GB" w:eastAsia="ja-JP"/>
        </w:rPr>
        <w:t>The Gender Action Plan must include indicators, targets, timeframe, responsible party, and budget, which are linked to the project’s components/outputs, outcomes, and activities. As part of preparing the Gender Action Plan, indicators should be proposed for inclusion in the Results Framework to facilitate the monitoring of the proposed gender mainstreaming actions.</w:t>
      </w:r>
    </w:p>
    <w:p w14:paraId="576CB7AE">
      <w:pPr>
        <w:rPr>
          <w:rFonts w:cstheme="minorHAnsi"/>
          <w:lang w:val="en-GB"/>
        </w:rPr>
      </w:pPr>
    </w:p>
    <w:p w14:paraId="00CF6C2D">
      <w:pPr>
        <w:rPr>
          <w:rFonts w:cstheme="minorHAnsi"/>
          <w:lang w:val="en-GB" w:eastAsia="ja-JP"/>
        </w:rPr>
      </w:pPr>
      <w:r>
        <w:rPr>
          <w:rFonts w:cstheme="minorHAnsi"/>
          <w:lang w:val="en-GB"/>
        </w:rPr>
        <w:t xml:space="preserve">See the guidance available </w:t>
      </w:r>
      <w:r>
        <w:fldChar w:fldCharType="begin"/>
      </w:r>
      <w:r>
        <w:instrText xml:space="preserve"> HYPERLINK "https://intranet.undp.org/unit/bpps/sdev/gef/SitePages/Gender.aspx" </w:instrText>
      </w:r>
      <w:r>
        <w:fldChar w:fldCharType="separate"/>
      </w:r>
      <w:r>
        <w:rPr>
          <w:rStyle w:val="30"/>
          <w:rFonts w:cstheme="minorHAnsi"/>
          <w:lang w:val="en-GB"/>
        </w:rPr>
        <w:t>here</w:t>
      </w:r>
      <w:r>
        <w:rPr>
          <w:rStyle w:val="30"/>
          <w:rFonts w:cstheme="minorHAnsi"/>
          <w:lang w:val="en-GB"/>
        </w:rPr>
        <w:fldChar w:fldCharType="end"/>
      </w:r>
      <w:r>
        <w:rPr>
          <w:rFonts w:cstheme="minorHAnsi"/>
          <w:lang w:val="en-GB"/>
        </w:rPr>
        <w:t xml:space="preserve">.  </w:t>
      </w:r>
    </w:p>
    <w:p w14:paraId="3075A548">
      <w:pPr>
        <w:rPr>
          <w:rFonts w:cstheme="minorHAnsi"/>
          <w:lang w:val="en-GB" w:eastAsia="ja-JP"/>
        </w:rPr>
      </w:pPr>
    </w:p>
    <w:p w14:paraId="2C529812">
      <w:pPr>
        <w:pStyle w:val="4"/>
        <w:rPr>
          <w:rFonts w:asciiTheme="minorHAnsi" w:hAnsiTheme="minorHAnsi" w:cstheme="minorHAnsi"/>
          <w:lang w:eastAsia="ja-JP"/>
        </w:rPr>
      </w:pPr>
      <w:r>
        <w:rPr>
          <w:rFonts w:asciiTheme="minorHAnsi" w:hAnsiTheme="minorHAnsi" w:cstheme="minorHAnsi"/>
          <w:lang w:eastAsia="ja-JP"/>
        </w:rPr>
        <w:t>Social and Environmental Standards: Screening and Management Measures</w:t>
      </w:r>
    </w:p>
    <w:p w14:paraId="77A0B281">
      <w:pPr>
        <w:rPr>
          <w:rFonts w:cstheme="minorHAnsi"/>
          <w:lang w:val="en-GB" w:eastAsia="ja-JP"/>
        </w:rPr>
      </w:pPr>
      <w:r>
        <w:rPr>
          <w:rFonts w:cstheme="minorHAnsi"/>
          <w:lang w:val="en-GB" w:eastAsia="ja-JP"/>
        </w:rPr>
        <w:t xml:space="preserve">In line with the assessments conducted during </w:t>
      </w:r>
      <w:r>
        <w:rPr>
          <w:rFonts w:cstheme="minorHAnsi"/>
          <w:b/>
          <w:lang w:val="en-GB" w:eastAsia="ja-JP"/>
        </w:rPr>
        <w:t>Component A</w:t>
      </w:r>
      <w:r>
        <w:rPr>
          <w:rFonts w:cstheme="minorHAnsi"/>
          <w:lang w:val="en-GB" w:eastAsia="ja-JP"/>
        </w:rPr>
        <w:t xml:space="preserve"> (above) and </w:t>
      </w:r>
      <w:r>
        <w:fldChar w:fldCharType="begin"/>
      </w:r>
      <w:r>
        <w:instrText xml:space="preserve"> HYPERLINK "%20https://popp.undp.org/policy-page/social-and-environmental-standards" </w:instrText>
      </w:r>
      <w:r>
        <w:fldChar w:fldCharType="separate"/>
      </w:r>
      <w:r>
        <w:rPr>
          <w:rStyle w:val="30"/>
          <w:rFonts w:cstheme="minorHAnsi"/>
          <w:lang w:val="en-GB" w:eastAsia="ja-JP"/>
        </w:rPr>
        <w:t>UNDP’s Social and Environmental Standards (SES) policy and all associated SES Guidance Notes</w:t>
      </w:r>
      <w:r>
        <w:rPr>
          <w:rStyle w:val="30"/>
          <w:rFonts w:cstheme="minorHAnsi"/>
          <w:lang w:val="en-GB" w:eastAsia="ja-JP"/>
        </w:rPr>
        <w:fldChar w:fldCharType="end"/>
      </w:r>
      <w:r>
        <w:rPr>
          <w:rFonts w:cstheme="minorHAnsi"/>
          <w:lang w:val="en-GB" w:eastAsia="ja-JP"/>
        </w:rPr>
        <w:t xml:space="preserve">, the SESP will be updated. All risks identified in the SESP will be reflected in the risk table and risk section of the ProDoc, and in the </w:t>
      </w:r>
      <w:r>
        <w:fldChar w:fldCharType="begin"/>
      </w:r>
      <w:r>
        <w:instrText xml:space="preserve"> HYPERLINK "%20https://popp.undp.org/document/project-risk-register-template" </w:instrText>
      </w:r>
      <w:r>
        <w:fldChar w:fldCharType="separate"/>
      </w:r>
      <w:r>
        <w:rPr>
          <w:rStyle w:val="30"/>
          <w:rFonts w:cstheme="minorHAnsi"/>
          <w:lang w:val="en-GB" w:eastAsia="ja-JP"/>
        </w:rPr>
        <w:t>Project’s Risk Register</w:t>
      </w:r>
      <w:r>
        <w:rPr>
          <w:rStyle w:val="30"/>
          <w:rFonts w:cstheme="minorHAnsi"/>
          <w:lang w:val="en-GB" w:eastAsia="ja-JP"/>
        </w:rPr>
        <w:fldChar w:fldCharType="end"/>
      </w:r>
      <w:r>
        <w:rPr>
          <w:rFonts w:cstheme="minorHAnsi"/>
          <w:lang w:val="en-GB" w:eastAsia="ja-JP"/>
        </w:rPr>
        <w:t xml:space="preserve">. </w:t>
      </w:r>
      <w:r>
        <w:rPr>
          <w:rFonts w:cstheme="minorHAnsi"/>
          <w:lang w:val="en-GB"/>
        </w:rPr>
        <w:t xml:space="preserve"> </w:t>
      </w:r>
    </w:p>
    <w:p w14:paraId="6AECFDC1">
      <w:pPr>
        <w:rPr>
          <w:rFonts w:cstheme="minorHAnsi"/>
          <w:lang w:val="en-GB" w:eastAsia="ja-JP"/>
        </w:rPr>
      </w:pPr>
    </w:p>
    <w:p w14:paraId="20CFB327">
      <w:pPr>
        <w:rPr>
          <w:shd w:val="clear" w:color="auto" w:fill="D9E2F3" w:themeFill="accent1" w:themeFillTint="33"/>
          <w:lang w:val="en-GB"/>
        </w:rPr>
      </w:pPr>
      <w:r>
        <w:rPr>
          <w:lang w:val="en-GB"/>
        </w:rPr>
        <w:t>The SES Framework(s) will identify the required management plans that will be prepared during project implementation.</w:t>
      </w:r>
      <w:r>
        <w:rPr>
          <w:shd w:val="clear" w:color="auto" w:fill="D9E2F3" w:themeFill="accent1" w:themeFillTint="33"/>
          <w:lang w:val="en-GB"/>
        </w:rPr>
        <w:t xml:space="preserve"> </w:t>
      </w:r>
    </w:p>
    <w:p w14:paraId="5B189125">
      <w:pPr>
        <w:rPr>
          <w:rFonts w:cstheme="minorHAnsi"/>
          <w:shd w:val="clear" w:color="auto" w:fill="D9E2F3" w:themeFill="accent1" w:themeFillTint="33"/>
          <w:lang w:val="en-GB"/>
        </w:rPr>
      </w:pPr>
    </w:p>
    <w:p w14:paraId="27F5A9A2">
      <w:pPr>
        <w:rPr>
          <w:rFonts w:cstheme="minorHAnsi"/>
        </w:rPr>
      </w:pPr>
      <w:r>
        <w:rPr>
          <w:rFonts w:cstheme="minorHAnsi"/>
        </w:rPr>
        <w:t>Based on the required targeted assessment(s), the relevant stand-alone management plan(s) will be prepared: targeted</w:t>
      </w:r>
      <w:r>
        <w:rPr>
          <w:rFonts w:cstheme="minorHAnsi"/>
          <w:shd w:val="clear" w:color="auto" w:fill="D9E2F3" w:themeFill="accent1" w:themeFillTint="33"/>
        </w:rPr>
        <w:t xml:space="preserve"> management plans, ESMF (Environmental and Social Management Framework), with a Process Framework and Ethnic Minorities Planning Framework</w:t>
      </w:r>
      <w:r>
        <w:rPr>
          <w:rFonts w:cstheme="minorHAnsi"/>
        </w:rPr>
        <w:t xml:space="preserve">.  </w:t>
      </w:r>
    </w:p>
    <w:p w14:paraId="1A6DCA86">
      <w:pPr>
        <w:rPr>
          <w:rFonts w:eastAsia="Calibri" w:cstheme="minorHAnsi"/>
          <w:b/>
          <w:bCs/>
          <w:color w:val="000000" w:themeColor="text1"/>
          <w:sz w:val="18"/>
          <w:szCs w:val="18"/>
          <w14:textFill>
            <w14:solidFill>
              <w14:schemeClr w14:val="tx1"/>
            </w14:solidFill>
          </w14:textFill>
        </w:rPr>
      </w:pPr>
    </w:p>
    <w:p w14:paraId="4A815D38">
      <w:pPr>
        <w:rPr>
          <w:rFonts w:cstheme="minorHAnsi"/>
          <w:lang w:val="en-GB" w:eastAsia="ja-JP"/>
        </w:rPr>
      </w:pPr>
      <w:r>
        <w:rPr>
          <w:rFonts w:cstheme="minorHAnsi"/>
          <w:lang w:val="en-GB"/>
        </w:rPr>
        <w:t xml:space="preserve">See the </w:t>
      </w:r>
      <w:r>
        <w:fldChar w:fldCharType="begin"/>
      </w:r>
      <w:r>
        <w:instrText xml:space="preserve"> HYPERLINK "https://info.undp.org/sites/bpps/SES_Toolkit/SES%20Document%20Library/Uploaded%20October%202016/UNDP%20SES%20Assessment%20and%20Management%20GN_rev_July2022.pdf" </w:instrText>
      </w:r>
      <w:r>
        <w:fldChar w:fldCharType="separate"/>
      </w:r>
      <w:r>
        <w:rPr>
          <w:rStyle w:val="30"/>
          <w:rFonts w:cstheme="minorHAnsi"/>
          <w:lang w:val="en-GB" w:eastAsia="ja-JP"/>
        </w:rPr>
        <w:t>SES Guidance Note on Assessment and Management</w:t>
      </w:r>
      <w:r>
        <w:rPr>
          <w:rStyle w:val="30"/>
          <w:rFonts w:cstheme="minorHAnsi"/>
          <w:lang w:val="en-GB" w:eastAsia="ja-JP"/>
        </w:rPr>
        <w:fldChar w:fldCharType="end"/>
      </w:r>
      <w:r>
        <w:rPr>
          <w:rFonts w:cstheme="minorHAnsi"/>
          <w:lang w:val="en-GB" w:eastAsia="ja-JP"/>
        </w:rPr>
        <w:t xml:space="preserve"> for further guidance. Please contact UNDP for additional information as needed.</w:t>
      </w:r>
    </w:p>
    <w:p w14:paraId="5FE21604">
      <w:pPr>
        <w:rPr>
          <w:rFonts w:cstheme="minorHAnsi"/>
          <w:lang w:val="en-GB" w:eastAsia="ja-JP"/>
        </w:rPr>
      </w:pPr>
    </w:p>
    <w:p w14:paraId="7F738E23">
      <w:pPr>
        <w:pStyle w:val="4"/>
        <w:rPr>
          <w:rFonts w:asciiTheme="minorHAnsi" w:hAnsiTheme="minorHAnsi" w:cstheme="minorHAnsi"/>
          <w:lang w:eastAsia="ja-JP"/>
        </w:rPr>
      </w:pPr>
      <w:r>
        <w:rPr>
          <w:rFonts w:asciiTheme="minorHAnsi" w:hAnsiTheme="minorHAnsi" w:cstheme="minorHAnsi"/>
          <w:lang w:eastAsia="ja-JP"/>
        </w:rPr>
        <w:t>GEF and LDCF/SCCF Core Indicators</w:t>
      </w:r>
    </w:p>
    <w:p w14:paraId="0F20CA21">
      <w:pPr>
        <w:rPr>
          <w:rFonts w:cstheme="minorHAnsi"/>
          <w:lang w:val="en-GB" w:eastAsia="ja-JP"/>
        </w:rPr>
      </w:pPr>
      <w:r>
        <w:rPr>
          <w:rFonts w:cstheme="minorHAnsi"/>
          <w:lang w:val="en-GB" w:eastAsia="ja-JP"/>
        </w:rPr>
        <w:t>The CEO endorsement-stage data for the relevant Core Indicators and sub-indicators will be prepared.</w:t>
      </w:r>
    </w:p>
    <w:p w14:paraId="77F71FBD">
      <w:pPr>
        <w:rPr>
          <w:rFonts w:cstheme="minorHAnsi"/>
          <w:lang w:val="en-GB" w:eastAsia="ja-JP"/>
        </w:rPr>
      </w:pPr>
      <w:r>
        <w:rPr>
          <w:rFonts w:cstheme="minorHAnsi"/>
          <w:lang w:val="en-GB" w:eastAsia="ja-JP"/>
        </w:rPr>
        <w:t xml:space="preserve">For GEF Trust Fund projects, the completed  </w:t>
      </w:r>
      <w:r>
        <w:fldChar w:fldCharType="begin"/>
      </w:r>
      <w:r>
        <w:instrText xml:space="preserve"> HYPERLINK "https://www.thegef.org/documents/gef-8-core-indicators-worksheet" </w:instrText>
      </w:r>
      <w:r>
        <w:fldChar w:fldCharType="separate"/>
      </w:r>
      <w:r>
        <w:rPr>
          <w:rStyle w:val="30"/>
          <w:rFonts w:cstheme="minorHAnsi"/>
          <w:lang w:val="en-GB" w:eastAsia="ja-JP"/>
        </w:rPr>
        <w:t>GEF-8 Core Indicators Worksheet</w:t>
      </w:r>
      <w:r>
        <w:rPr>
          <w:rStyle w:val="30"/>
          <w:rFonts w:cstheme="minorHAnsi"/>
          <w:lang w:val="en-GB" w:eastAsia="ja-JP"/>
        </w:rPr>
        <w:fldChar w:fldCharType="end"/>
      </w:r>
      <w:r>
        <w:rPr>
          <w:rFonts w:cstheme="minorHAnsi"/>
          <w:lang w:val="en-GB" w:eastAsia="ja-JP"/>
        </w:rPr>
        <w:t xml:space="preserve"> - with both the original PIF-stage data and the CEO endorsement-stage data—will be annexed to the ProDoc. LDCF/SCCF projects will use the </w:t>
      </w:r>
      <w:r>
        <w:fldChar w:fldCharType="begin"/>
      </w:r>
      <w:r>
        <w:instrText xml:space="preserve"> HYPERLINK "https://www.thegef.org/documents/gef-climate-change-adaptation-results-framework-gef-7" </w:instrText>
      </w:r>
      <w:r>
        <w:fldChar w:fldCharType="separate"/>
      </w:r>
      <w:r>
        <w:rPr>
          <w:rStyle w:val="30"/>
          <w:rFonts w:cstheme="minorHAnsi"/>
          <w:lang w:val="en-GB" w:eastAsia="ja-JP"/>
        </w:rPr>
        <w:t>CCA Results Framework worksheet</w:t>
      </w:r>
      <w:r>
        <w:rPr>
          <w:rStyle w:val="30"/>
          <w:rFonts w:cstheme="minorHAnsi"/>
          <w:lang w:val="en-GB" w:eastAsia="ja-JP"/>
        </w:rPr>
        <w:fldChar w:fldCharType="end"/>
      </w:r>
      <w:r>
        <w:rPr>
          <w:rFonts w:cstheme="minorHAnsi"/>
          <w:lang w:val="en-GB" w:eastAsia="ja-JP"/>
        </w:rPr>
        <w:t>.</w:t>
      </w:r>
    </w:p>
    <w:p w14:paraId="5E898800">
      <w:pPr>
        <w:rPr>
          <w:rFonts w:cstheme="minorHAnsi"/>
          <w:i/>
          <w:shd w:val="clear" w:color="auto" w:fill="D9E2F3" w:themeFill="accent1" w:themeFillTint="33"/>
          <w:lang w:val="en-GB" w:eastAsia="ja-JP"/>
        </w:rPr>
      </w:pPr>
    </w:p>
    <w:p w14:paraId="0DFD0F67">
      <w:pPr>
        <w:rPr>
          <w:rFonts w:cstheme="minorHAnsi"/>
          <w:lang w:val="en-GB" w:eastAsia="ja-JP"/>
        </w:rPr>
      </w:pPr>
      <w:r>
        <w:rPr>
          <w:rFonts w:cstheme="minorHAnsi"/>
          <w:lang w:val="en-GB" w:eastAsia="ja-JP"/>
        </w:rPr>
        <w:t xml:space="preserve">As part of the GEF Core Indicators requirement, the required METTs will be prepared in the GEF-7 Excel </w:t>
      </w:r>
      <w:r>
        <w:fldChar w:fldCharType="begin"/>
      </w:r>
      <w:r>
        <w:instrText xml:space="preserve"> HYPERLINK "https://www.thegef.org/documents/gef-7-biodiversity-protected-area-tracking-tool" </w:instrText>
      </w:r>
      <w:r>
        <w:fldChar w:fldCharType="separate"/>
      </w:r>
      <w:r>
        <w:rPr>
          <w:rStyle w:val="30"/>
          <w:rFonts w:cstheme="minorHAnsi"/>
          <w:lang w:val="en-GB" w:eastAsia="ja-JP"/>
        </w:rPr>
        <w:t>template</w:t>
      </w:r>
      <w:r>
        <w:rPr>
          <w:rStyle w:val="30"/>
          <w:rFonts w:cstheme="minorHAnsi"/>
          <w:lang w:val="en-GB" w:eastAsia="ja-JP"/>
        </w:rPr>
        <w:fldChar w:fldCharType="end"/>
      </w:r>
      <w:r>
        <w:rPr>
          <w:rFonts w:cstheme="minorHAnsi"/>
          <w:lang w:val="en-GB" w:eastAsia="ja-JP"/>
        </w:rPr>
        <w:t>; the relevant details will be included in the GEF-8 Core Indicators template, and the final Excel METT file will be submitted to UNDP (not be annexed to the ProDoc).</w:t>
      </w:r>
    </w:p>
    <w:p w14:paraId="5D334908">
      <w:pPr>
        <w:rPr>
          <w:rFonts w:cstheme="minorHAnsi"/>
          <w:lang w:val="en-GB" w:eastAsia="ja-JP"/>
        </w:rPr>
      </w:pPr>
      <w:r>
        <w:rPr>
          <w:rFonts w:cstheme="minorHAnsi"/>
          <w:lang w:val="en-GB" w:eastAsia="ja-JP"/>
        </w:rPr>
        <w:t xml:space="preserve"> </w:t>
      </w:r>
    </w:p>
    <w:p w14:paraId="13859A5D">
      <w:pPr>
        <w:rPr>
          <w:rFonts w:cstheme="minorHAnsi"/>
          <w:lang w:val="en-GB" w:eastAsia="ja-JP"/>
        </w:rPr>
      </w:pPr>
      <w:r>
        <w:rPr>
          <w:rFonts w:cstheme="minorHAnsi"/>
          <w:lang w:val="en-GB" w:eastAsia="ja-JP"/>
        </w:rPr>
        <w:t xml:space="preserve">The relevant Core Indicators will be included in the project’s Results Framework at the Objective level, where appropriate. See the </w:t>
      </w:r>
      <w:r>
        <w:fldChar w:fldCharType="begin"/>
      </w:r>
      <w:r>
        <w:instrText xml:space="preserve"> HYPERLINK "https://www.thegef.org/documents/results-framework" </w:instrText>
      </w:r>
      <w:r>
        <w:fldChar w:fldCharType="separate"/>
      </w:r>
      <w:r>
        <w:rPr>
          <w:rStyle w:val="30"/>
          <w:rFonts w:cstheme="minorHAnsi"/>
          <w:lang w:val="en-GB" w:eastAsia="ja-JP"/>
        </w:rPr>
        <w:t>GEF Guidelines on Core Indicators and Sub-indicators.</w:t>
      </w:r>
      <w:r>
        <w:rPr>
          <w:rStyle w:val="30"/>
          <w:rFonts w:cstheme="minorHAnsi"/>
          <w:lang w:val="en-GB" w:eastAsia="ja-JP"/>
        </w:rPr>
        <w:fldChar w:fldCharType="end"/>
      </w:r>
    </w:p>
    <w:p w14:paraId="077FAF31">
      <w:pPr>
        <w:ind w:firstLine="720"/>
        <w:rPr>
          <w:rFonts w:cstheme="minorHAnsi"/>
          <w:lang w:val="en-GB" w:eastAsia="ja-JP"/>
        </w:rPr>
      </w:pPr>
    </w:p>
    <w:p w14:paraId="48709044">
      <w:pPr>
        <w:pStyle w:val="4"/>
        <w:rPr>
          <w:rFonts w:asciiTheme="minorHAnsi" w:hAnsiTheme="minorHAnsi" w:cstheme="minorHAnsi"/>
          <w:lang w:eastAsia="ja-JP"/>
        </w:rPr>
      </w:pPr>
      <w:r>
        <w:rPr>
          <w:rFonts w:asciiTheme="minorHAnsi" w:hAnsiTheme="minorHAnsi" w:cstheme="minorHAnsi"/>
          <w:lang w:eastAsia="ja-JP"/>
        </w:rPr>
        <w:t>Completion of the required official endorsement letters</w:t>
      </w:r>
    </w:p>
    <w:p w14:paraId="215B53A7">
      <w:pPr>
        <w:rPr>
          <w:rFonts w:cstheme="minorHAnsi"/>
          <w:lang w:val="en-GB" w:eastAsia="ja-JP"/>
        </w:rPr>
      </w:pPr>
      <w:r>
        <w:rPr>
          <w:rFonts w:cstheme="minorHAnsi"/>
          <w:lang w:val="en-GB" w:eastAsia="ja-JP"/>
        </w:rPr>
        <w:t xml:space="preserve">These letters include the official letters on the co-financing guarantee(s) from participating government institutions, bilateral development partners, multilateral development partners, NGOs, the private sector, or others who wish to provide cash or in-kind contributions to the project.  </w:t>
      </w:r>
    </w:p>
    <w:p w14:paraId="47A4E411">
      <w:pPr>
        <w:rPr>
          <w:rFonts w:cstheme="minorHAnsi"/>
          <w:lang w:val="en-GB" w:eastAsia="ja-JP"/>
        </w:rPr>
      </w:pPr>
    </w:p>
    <w:p w14:paraId="1BCE3512">
      <w:pPr>
        <w:rPr>
          <w:rFonts w:cstheme="minorHAnsi"/>
          <w:lang w:val="en-GB" w:eastAsia="ja-JP"/>
        </w:rPr>
      </w:pPr>
      <w:r>
        <w:rPr>
          <w:rFonts w:cstheme="minorHAnsi"/>
          <w:lang w:val="en-GB" w:eastAsia="ja-JP"/>
        </w:rPr>
        <w:t xml:space="preserve">A GEF OFP endorsement letter will also be required for any new participating countries to a global or regional program/project not included in the PIF/PFD submission. </w:t>
      </w:r>
    </w:p>
    <w:p w14:paraId="50D6C5A9">
      <w:pPr>
        <w:rPr>
          <w:rFonts w:cstheme="minorHAnsi"/>
          <w:lang w:val="en-GB" w:eastAsia="ja-JP"/>
        </w:rPr>
      </w:pPr>
    </w:p>
    <w:p w14:paraId="5A69C13B">
      <w:pPr>
        <w:rPr>
          <w:rFonts w:cstheme="minorHAnsi"/>
          <w:lang w:val="en-GB" w:eastAsia="ja-JP"/>
        </w:rPr>
      </w:pPr>
      <w:r>
        <w:rPr>
          <w:rFonts w:cstheme="minorHAnsi"/>
          <w:lang w:val="en-GB" w:eastAsia="ja-JP"/>
        </w:rPr>
        <w:t>Updated GEF OFP endorsements letters are also required if the requested GEF grant amount has changed since PIF/PFD approval.</w:t>
      </w:r>
    </w:p>
    <w:p w14:paraId="2626D04C">
      <w:pPr>
        <w:rPr>
          <w:rFonts w:cstheme="minorHAnsi"/>
          <w:lang w:val="en-GB" w:eastAsia="ja-JP"/>
        </w:rPr>
      </w:pPr>
      <w:r>
        <w:rPr>
          <w:rFonts w:cstheme="minorHAnsi"/>
          <w:lang w:val="en-GB" w:eastAsia="ja-JP"/>
        </w:rPr>
        <w:t xml:space="preserve">   </w:t>
      </w:r>
    </w:p>
    <w:p w14:paraId="3A11C19C">
      <w:pPr>
        <w:pStyle w:val="4"/>
        <w:rPr>
          <w:rFonts w:asciiTheme="minorHAnsi" w:hAnsiTheme="minorHAnsi" w:cstheme="minorHAnsi"/>
          <w:lang w:eastAsia="ja-JP"/>
        </w:rPr>
      </w:pPr>
      <w:r>
        <w:rPr>
          <w:rFonts w:asciiTheme="minorHAnsi" w:hAnsiTheme="minorHAnsi" w:cstheme="minorHAnsi"/>
          <w:lang w:eastAsia="ja-JP"/>
        </w:rPr>
        <w:t>Mandatory Annexes</w:t>
      </w:r>
    </w:p>
    <w:p w14:paraId="563D5AE2">
      <w:pPr>
        <w:rPr>
          <w:rFonts w:cstheme="minorHAnsi"/>
        </w:rPr>
      </w:pPr>
      <w:r>
        <w:rPr>
          <w:rFonts w:cstheme="minorHAnsi"/>
        </w:rPr>
        <w:t xml:space="preserve">In addition to the documents listed above, the following Annexes should be prepared by the GEF PPG team: </w:t>
      </w:r>
    </w:p>
    <w:p w14:paraId="0AD46872">
      <w:pPr>
        <w:pStyle w:val="56"/>
        <w:numPr>
          <w:ilvl w:val="0"/>
          <w:numId w:val="14"/>
        </w:numPr>
        <w:rPr>
          <w:rFonts w:cstheme="minorHAnsi"/>
        </w:rPr>
      </w:pPr>
      <w:r>
        <w:fldChar w:fldCharType="begin"/>
      </w:r>
      <w:r>
        <w:instrText xml:space="preserve"> HYPERLINK \l "_Toc13821498" </w:instrText>
      </w:r>
      <w:r>
        <w:fldChar w:fldCharType="separate"/>
      </w:r>
      <w:r>
        <w:rPr>
          <w:rFonts w:cstheme="minorHAnsi"/>
        </w:rPr>
        <w:t>Project map and Geospatial Coordinates of project sites</w:t>
      </w:r>
      <w:r>
        <w:rPr>
          <w:rFonts w:cstheme="minorHAnsi"/>
        </w:rPr>
        <w:tab/>
      </w:r>
      <w:r>
        <w:rPr>
          <w:rFonts w:cstheme="minorHAnsi"/>
        </w:rPr>
        <w:fldChar w:fldCharType="end"/>
      </w:r>
    </w:p>
    <w:p w14:paraId="11B796D0">
      <w:pPr>
        <w:pStyle w:val="56"/>
        <w:numPr>
          <w:ilvl w:val="0"/>
          <w:numId w:val="14"/>
        </w:numPr>
        <w:rPr>
          <w:rFonts w:cstheme="minorHAnsi"/>
        </w:rPr>
      </w:pPr>
      <w:r>
        <w:fldChar w:fldCharType="begin"/>
      </w:r>
      <w:r>
        <w:instrText xml:space="preserve"> HYPERLINK \l "_Toc13821499" </w:instrText>
      </w:r>
      <w:r>
        <w:fldChar w:fldCharType="separate"/>
      </w:r>
      <w:r>
        <w:rPr>
          <w:rFonts w:cstheme="minorHAnsi"/>
        </w:rPr>
        <w:t>Multi-Year Work Plan</w:t>
      </w:r>
      <w:r>
        <w:rPr>
          <w:rFonts w:cstheme="minorHAnsi"/>
        </w:rPr>
        <w:fldChar w:fldCharType="end"/>
      </w:r>
    </w:p>
    <w:p w14:paraId="4B216248">
      <w:pPr>
        <w:pStyle w:val="56"/>
        <w:numPr>
          <w:ilvl w:val="0"/>
          <w:numId w:val="14"/>
        </w:numPr>
        <w:rPr>
          <w:rFonts w:cstheme="minorHAnsi"/>
        </w:rPr>
      </w:pPr>
      <w:r>
        <w:fldChar w:fldCharType="begin"/>
      </w:r>
      <w:r>
        <w:instrText xml:space="preserve"> HYPERLINK \l "_Toc13821500" </w:instrText>
      </w:r>
      <w:r>
        <w:fldChar w:fldCharType="separate"/>
      </w:r>
      <w:r>
        <w:rPr>
          <w:rFonts w:cstheme="minorHAnsi"/>
        </w:rPr>
        <w:t>Monitoring Plan</w:t>
      </w:r>
      <w:r>
        <w:rPr>
          <w:rFonts w:cstheme="minorHAnsi"/>
        </w:rPr>
        <w:fldChar w:fldCharType="end"/>
      </w:r>
    </w:p>
    <w:p w14:paraId="5AC45140">
      <w:pPr>
        <w:pStyle w:val="56"/>
        <w:numPr>
          <w:ilvl w:val="0"/>
          <w:numId w:val="14"/>
        </w:numPr>
        <w:rPr>
          <w:rFonts w:cstheme="minorHAnsi"/>
        </w:rPr>
      </w:pPr>
      <w:r>
        <w:fldChar w:fldCharType="begin"/>
      </w:r>
      <w:r>
        <w:instrText xml:space="preserve"> HYPERLINK \l "_Toc13821502" </w:instrText>
      </w:r>
      <w:r>
        <w:fldChar w:fldCharType="separate"/>
      </w:r>
      <w:r>
        <w:rPr>
          <w:rFonts w:cstheme="minorHAnsi"/>
        </w:rPr>
        <w:t>UNDP Risk Register</w:t>
      </w:r>
      <w:r>
        <w:rPr>
          <w:rFonts w:cstheme="minorHAnsi"/>
        </w:rPr>
        <w:tab/>
      </w:r>
      <w:r>
        <w:rPr>
          <w:rFonts w:cstheme="minorHAnsi"/>
        </w:rPr>
        <w:fldChar w:fldCharType="end"/>
      </w:r>
    </w:p>
    <w:p w14:paraId="386DF013">
      <w:pPr>
        <w:pStyle w:val="56"/>
        <w:numPr>
          <w:ilvl w:val="0"/>
          <w:numId w:val="14"/>
        </w:numPr>
        <w:rPr>
          <w:rFonts w:cstheme="minorHAnsi"/>
        </w:rPr>
      </w:pPr>
      <w:r>
        <w:fldChar w:fldCharType="begin"/>
      </w:r>
      <w:r>
        <w:instrText xml:space="preserve"> HYPERLINK \l "_Toc13821503" </w:instrText>
      </w:r>
      <w:r>
        <w:fldChar w:fldCharType="separate"/>
      </w:r>
      <w:r>
        <w:rPr>
          <w:rFonts w:cstheme="minorHAnsi"/>
        </w:rPr>
        <w:t>Overview of Technical Consultancies</w:t>
      </w:r>
      <w:r>
        <w:rPr>
          <w:rFonts w:cstheme="minorHAnsi"/>
        </w:rPr>
        <w:fldChar w:fldCharType="end"/>
      </w:r>
    </w:p>
    <w:p w14:paraId="6C9FCAFD">
      <w:pPr>
        <w:pStyle w:val="56"/>
        <w:numPr>
          <w:ilvl w:val="0"/>
          <w:numId w:val="14"/>
        </w:numPr>
        <w:rPr>
          <w:rFonts w:cstheme="minorHAnsi"/>
        </w:rPr>
      </w:pPr>
      <w:r>
        <w:fldChar w:fldCharType="begin"/>
      </w:r>
      <w:r>
        <w:instrText xml:space="preserve"> HYPERLINK \l "_Toc13821506" </w:instrText>
      </w:r>
      <w:r>
        <w:fldChar w:fldCharType="separate"/>
      </w:r>
      <w:r>
        <w:rPr>
          <w:rFonts w:cstheme="minorHAnsi"/>
        </w:rPr>
        <w:t>GEF 7 Taxonomy</w:t>
      </w:r>
      <w:r>
        <w:rPr>
          <w:rFonts w:cstheme="minorHAnsi"/>
        </w:rPr>
        <w:fldChar w:fldCharType="end"/>
      </w:r>
    </w:p>
    <w:p w14:paraId="13435F5A">
      <w:pPr>
        <w:pStyle w:val="56"/>
        <w:numPr>
          <w:ilvl w:val="0"/>
          <w:numId w:val="14"/>
        </w:numPr>
        <w:rPr>
          <w:rFonts w:cstheme="minorHAnsi"/>
        </w:rPr>
      </w:pPr>
      <w:r>
        <w:rPr>
          <w:rFonts w:cstheme="minorHAnsi"/>
        </w:rPr>
        <w:t>Initial Project Procurement Plan and TORs for key Project staff</w:t>
      </w:r>
    </w:p>
    <w:p w14:paraId="7E54BAC9">
      <w:pPr>
        <w:rPr>
          <w:rFonts w:cstheme="minorHAnsi"/>
        </w:rPr>
      </w:pPr>
    </w:p>
    <w:p w14:paraId="138EA8E8">
      <w:pPr>
        <w:rPr>
          <w:rFonts w:cstheme="minorHAnsi"/>
        </w:rPr>
      </w:pPr>
      <w:r>
        <w:rPr>
          <w:rFonts w:cstheme="minorHAnsi"/>
        </w:rPr>
        <w:t>Upon a request from the RTA/RTS during the PPG implementation, the PPG team may be required to prepare additional annexes.</w:t>
      </w:r>
    </w:p>
    <w:p w14:paraId="62F297BB">
      <w:pPr>
        <w:rPr>
          <w:rFonts w:cstheme="minorHAnsi"/>
        </w:rPr>
      </w:pPr>
    </w:p>
    <w:p w14:paraId="0FB3DDC4">
      <w:pPr>
        <w:pStyle w:val="4"/>
        <w:rPr>
          <w:rFonts w:asciiTheme="minorHAnsi" w:hAnsiTheme="minorHAnsi" w:cstheme="minorHAnsi"/>
        </w:rPr>
      </w:pPr>
      <w:r>
        <w:rPr>
          <w:rFonts w:asciiTheme="minorHAnsi" w:hAnsiTheme="minorHAnsi" w:cstheme="minorHAnsi"/>
        </w:rPr>
        <w:t>Project Management Arrangements</w:t>
      </w:r>
    </w:p>
    <w:p w14:paraId="024F7336">
      <w:pPr>
        <w:rPr>
          <w:rFonts w:cstheme="minorHAnsi"/>
          <w:lang w:val="en-GB" w:eastAsia="ja-JP"/>
        </w:rPr>
      </w:pPr>
    </w:p>
    <w:p w14:paraId="3D038B46">
      <w:pPr>
        <w:rPr>
          <w:rFonts w:cstheme="minorHAnsi"/>
        </w:rPr>
      </w:pPr>
      <w:r>
        <w:rPr>
          <w:rFonts w:cstheme="minorHAnsi"/>
          <w:lang w:val="en-GB" w:eastAsia="ja-JP"/>
        </w:rPr>
        <w:t xml:space="preserve">Based on the stakeholder analysis and consultations undertaken in </w:t>
      </w:r>
      <w:r>
        <w:rPr>
          <w:rFonts w:cstheme="minorHAnsi"/>
          <w:b/>
          <w:bCs/>
          <w:lang w:val="en-GB" w:eastAsia="ja-JP"/>
        </w:rPr>
        <w:t>Component A</w:t>
      </w:r>
      <w:r>
        <w:rPr>
          <w:rFonts w:cstheme="minorHAnsi"/>
          <w:lang w:val="en-GB" w:eastAsia="ja-JP"/>
        </w:rPr>
        <w:t xml:space="preserve"> above, agreement(s) on project management and governance arrangements—including roles, responsibilities, and accountabilities of lead and partner Agencies—will be secured early in the project development phase and will be fully detailed in the ProDoc. St</w:t>
      </w:r>
      <w:r>
        <w:rPr>
          <w:rFonts w:cstheme="minorHAnsi"/>
        </w:rPr>
        <w:t xml:space="preserve">andard text from the governance and management arrangement from the GEF-8 template should never be removed. </w:t>
      </w:r>
    </w:p>
    <w:p w14:paraId="4C02E029">
      <w:pPr>
        <w:rPr>
          <w:rFonts w:cstheme="minorHAnsi"/>
          <w:lang w:eastAsia="ja-JP"/>
        </w:rPr>
      </w:pPr>
      <w:bookmarkStart w:id="5" w:name="_Toc488064689"/>
    </w:p>
    <w:p w14:paraId="255E6CAC">
      <w:pPr>
        <w:pStyle w:val="3"/>
        <w:rPr>
          <w:rFonts w:asciiTheme="minorHAnsi" w:hAnsiTheme="minorHAnsi" w:cstheme="minorHAnsi"/>
        </w:rPr>
      </w:pPr>
      <w:bookmarkStart w:id="6" w:name="_Toc8832255"/>
      <w:r>
        <w:rPr>
          <w:rFonts w:asciiTheme="minorHAnsi" w:hAnsiTheme="minorHAnsi" w:cstheme="minorHAnsi"/>
        </w:rPr>
        <w:t>Component C: Validation Workshop</w:t>
      </w:r>
      <w:bookmarkEnd w:id="5"/>
      <w:r>
        <w:rPr>
          <w:rFonts w:asciiTheme="minorHAnsi" w:hAnsiTheme="minorHAnsi" w:cstheme="minorHAnsi"/>
        </w:rPr>
        <w:t xml:space="preserve"> and Report</w:t>
      </w:r>
      <w:bookmarkEnd w:id="6"/>
    </w:p>
    <w:p w14:paraId="327BCBEA">
      <w:pPr>
        <w:rPr>
          <w:rFonts w:cstheme="minorHAnsi"/>
          <w:lang w:val="en-GB" w:eastAsia="ja-JP"/>
        </w:rPr>
      </w:pPr>
      <w:r>
        <w:rPr>
          <w:rFonts w:cstheme="minorHAnsi"/>
          <w:lang w:val="en-GB" w:eastAsia="ja-JP"/>
        </w:rPr>
        <w:t>A validation workshop will be held with relevant stakeholders to present, discuss and validate the project activities and the final draft of the UNDP-GEF project document. A validation workshop report will be prepared for projects with an overall safeguards risk rating of moderate or high</w:t>
      </w:r>
      <w:r>
        <w:rPr>
          <w:rStyle w:val="32"/>
          <w:rFonts w:cstheme="minorHAnsi"/>
          <w:lang w:val="en-GB" w:eastAsia="ja-JP"/>
        </w:rPr>
        <w:footnoteReference w:id="3"/>
      </w:r>
      <w:r>
        <w:rPr>
          <w:rFonts w:cstheme="minorHAnsi"/>
          <w:lang w:val="en-GB" w:eastAsia="ja-JP"/>
        </w:rPr>
        <w:t>.</w:t>
      </w:r>
    </w:p>
    <w:p w14:paraId="524AAA25">
      <w:pPr>
        <w:rPr>
          <w:rFonts w:cstheme="minorHAnsi"/>
          <w:lang w:val="en-GB" w:eastAsia="ja-JP"/>
        </w:rPr>
      </w:pPr>
    </w:p>
    <w:p w14:paraId="156E3AFD">
      <w:pPr>
        <w:pStyle w:val="2"/>
        <w:numPr>
          <w:ilvl w:val="0"/>
          <w:numId w:val="4"/>
        </w:numPr>
        <w:rPr>
          <w:rFonts w:asciiTheme="minorHAnsi" w:hAnsiTheme="minorHAnsi" w:cstheme="minorHAnsi"/>
          <w:lang w:val="en-GB" w:eastAsia="ja-JP"/>
        </w:rPr>
      </w:pPr>
      <w:bookmarkStart w:id="7" w:name="_Toc8832256"/>
      <w:r>
        <w:rPr>
          <w:rFonts w:asciiTheme="minorHAnsi" w:hAnsiTheme="minorHAnsi" w:cstheme="minorHAnsi"/>
          <w:lang w:val="en-GB" w:eastAsia="ja-JP"/>
        </w:rPr>
        <w:t>Total Budget and Work Plan for GEF PPG</w:t>
      </w:r>
      <w:bookmarkEnd w:id="7"/>
    </w:p>
    <w:p w14:paraId="7EF53D56">
      <w:pPr>
        <w:shd w:val="clear" w:color="auto" w:fill="D9E2F3" w:themeFill="accent1" w:themeFillTint="33"/>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5"/>
        <w:gridCol w:w="1195"/>
        <w:gridCol w:w="1350"/>
        <w:gridCol w:w="4945"/>
      </w:tblGrid>
      <w:tr w14:paraId="6FC0CA55">
        <w:tc>
          <w:tcPr>
            <w:tcW w:w="2155" w:type="dxa"/>
            <w:shd w:val="clear" w:color="auto" w:fill="ECECEC" w:themeFill="accent3" w:themeFillTint="33"/>
          </w:tcPr>
          <w:p w14:paraId="213F0F38">
            <w:pPr>
              <w:rPr>
                <w:rFonts w:cstheme="minorHAnsi"/>
                <w:b/>
                <w:sz w:val="20"/>
                <w:szCs w:val="20"/>
              </w:rPr>
            </w:pPr>
            <w:r>
              <w:rPr>
                <w:rFonts w:cstheme="minorHAnsi"/>
                <w:b/>
                <w:bCs/>
                <w:sz w:val="20"/>
                <w:szCs w:val="20"/>
              </w:rPr>
              <w:t xml:space="preserve">Quantum Project ID:  </w:t>
            </w:r>
          </w:p>
        </w:tc>
        <w:tc>
          <w:tcPr>
            <w:tcW w:w="900" w:type="dxa"/>
          </w:tcPr>
          <w:p w14:paraId="5878BA9E">
            <w:r>
              <w:t>01003701</w:t>
            </w:r>
          </w:p>
          <w:p w14:paraId="0B379E4E">
            <w:pPr>
              <w:rPr>
                <w:rFonts w:cstheme="minorHAnsi"/>
              </w:rPr>
            </w:pPr>
          </w:p>
        </w:tc>
        <w:tc>
          <w:tcPr>
            <w:tcW w:w="1350" w:type="dxa"/>
          </w:tcPr>
          <w:p w14:paraId="65BC52C0">
            <w:pPr>
              <w:rPr>
                <w:rFonts w:cstheme="minorHAnsi"/>
              </w:rPr>
            </w:pPr>
            <w:r>
              <w:rPr>
                <w:rFonts w:cstheme="minorHAnsi"/>
                <w:b/>
                <w:sz w:val="20"/>
                <w:szCs w:val="20"/>
              </w:rPr>
              <w:t>Project Title:</w:t>
            </w:r>
          </w:p>
        </w:tc>
        <w:tc>
          <w:tcPr>
            <w:tcW w:w="4945" w:type="dxa"/>
          </w:tcPr>
          <w:p w14:paraId="04BF7D99">
            <w:pPr>
              <w:rPr>
                <w:rFonts w:cstheme="minorHAnsi"/>
              </w:rPr>
            </w:pPr>
            <w:r>
              <w:rPr>
                <w:rFonts w:cstheme="minorHAnsi"/>
              </w:rPr>
              <w:t>Conserving Biodiversity and Natural Resources through Spatial Planning and Integrated Landscape Management</w:t>
            </w:r>
          </w:p>
        </w:tc>
      </w:tr>
      <w:tr w14:paraId="5024BDF4">
        <w:tc>
          <w:tcPr>
            <w:tcW w:w="2155" w:type="dxa"/>
            <w:shd w:val="clear" w:color="auto" w:fill="ECECEC" w:themeFill="accent3" w:themeFillTint="33"/>
          </w:tcPr>
          <w:p w14:paraId="521F2154">
            <w:pPr>
              <w:rPr>
                <w:rFonts w:cstheme="minorHAnsi"/>
                <w:b/>
                <w:bCs/>
                <w:sz w:val="20"/>
                <w:szCs w:val="20"/>
              </w:rPr>
            </w:pPr>
            <w:r>
              <w:rPr>
                <w:rFonts w:cstheme="minorHAnsi"/>
                <w:b/>
                <w:bCs/>
                <w:sz w:val="20"/>
                <w:szCs w:val="20"/>
              </w:rPr>
              <w:t>Quantum Award ID:</w:t>
            </w:r>
          </w:p>
        </w:tc>
        <w:tc>
          <w:tcPr>
            <w:tcW w:w="900" w:type="dxa"/>
          </w:tcPr>
          <w:p w14:paraId="0F4E7680">
            <w:pPr>
              <w:rPr>
                <w:rFonts w:cstheme="minorHAnsi"/>
              </w:rPr>
            </w:pPr>
            <w:r>
              <w:rPr>
                <w:rFonts w:cstheme="minorHAnsi"/>
              </w:rPr>
              <w:t>1376328</w:t>
            </w:r>
          </w:p>
        </w:tc>
        <w:tc>
          <w:tcPr>
            <w:tcW w:w="1350" w:type="dxa"/>
          </w:tcPr>
          <w:p w14:paraId="1435E380">
            <w:pPr>
              <w:rPr>
                <w:rFonts w:cstheme="minorHAnsi"/>
              </w:rPr>
            </w:pPr>
            <w:r>
              <w:rPr>
                <w:rFonts w:cstheme="minorHAnsi"/>
                <w:b/>
                <w:sz w:val="20"/>
                <w:szCs w:val="20"/>
              </w:rPr>
              <w:t>Award Title:</w:t>
            </w:r>
          </w:p>
        </w:tc>
        <w:tc>
          <w:tcPr>
            <w:tcW w:w="4945" w:type="dxa"/>
          </w:tcPr>
          <w:p w14:paraId="726561D1">
            <w:pPr>
              <w:rPr>
                <w:rFonts w:cstheme="minorHAnsi"/>
              </w:rPr>
            </w:pPr>
            <w:r>
              <w:rPr>
                <w:rFonts w:cstheme="minorHAnsi"/>
              </w:rPr>
              <w:t>PIMS9715-Conserving Biodiversity</w:t>
            </w:r>
          </w:p>
        </w:tc>
      </w:tr>
      <w:tr w14:paraId="03480619">
        <w:tc>
          <w:tcPr>
            <w:tcW w:w="2155" w:type="dxa"/>
            <w:shd w:val="clear" w:color="auto" w:fill="ECECEC" w:themeFill="accent3" w:themeFillTint="33"/>
          </w:tcPr>
          <w:p w14:paraId="2DF5F336">
            <w:pPr>
              <w:rPr>
                <w:rFonts w:cstheme="minorHAnsi"/>
                <w:b/>
                <w:sz w:val="20"/>
                <w:szCs w:val="20"/>
              </w:rPr>
            </w:pPr>
            <w:r>
              <w:rPr>
                <w:rFonts w:cstheme="minorHAnsi"/>
                <w:b/>
                <w:sz w:val="20"/>
                <w:szCs w:val="20"/>
              </w:rPr>
              <w:t>Business Unit:</w:t>
            </w:r>
          </w:p>
        </w:tc>
        <w:tc>
          <w:tcPr>
            <w:tcW w:w="7195" w:type="dxa"/>
            <w:gridSpan w:val="3"/>
          </w:tcPr>
          <w:p w14:paraId="43EB412A">
            <w:pPr>
              <w:rPr>
                <w:rFonts w:cstheme="minorHAnsi"/>
                <w:sz w:val="20"/>
                <w:szCs w:val="20"/>
                <w:lang w:val="en-GB" w:eastAsia="ja-JP"/>
              </w:rPr>
            </w:pPr>
            <w:r>
              <w:rPr>
                <w:rFonts w:cstheme="minorHAnsi"/>
                <w:sz w:val="20"/>
                <w:szCs w:val="20"/>
                <w:lang w:val="en-GB" w:eastAsia="ja-JP"/>
              </w:rPr>
              <w:t>UNDP-CHN</w:t>
            </w:r>
          </w:p>
        </w:tc>
      </w:tr>
      <w:tr w14:paraId="63180178">
        <w:tc>
          <w:tcPr>
            <w:tcW w:w="2155" w:type="dxa"/>
            <w:shd w:val="clear" w:color="auto" w:fill="ECECEC" w:themeFill="accent3" w:themeFillTint="33"/>
          </w:tcPr>
          <w:p w14:paraId="7D1E8E92">
            <w:pPr>
              <w:rPr>
                <w:rFonts w:cstheme="minorHAnsi"/>
                <w:b/>
                <w:sz w:val="20"/>
                <w:szCs w:val="20"/>
              </w:rPr>
            </w:pPr>
            <w:r>
              <w:rPr>
                <w:rFonts w:cstheme="minorHAnsi"/>
                <w:b/>
                <w:bCs/>
                <w:sz w:val="20"/>
                <w:szCs w:val="20"/>
              </w:rPr>
              <w:t xml:space="preserve">PIMS number: </w:t>
            </w:r>
          </w:p>
        </w:tc>
        <w:tc>
          <w:tcPr>
            <w:tcW w:w="7195" w:type="dxa"/>
            <w:gridSpan w:val="3"/>
          </w:tcPr>
          <w:p w14:paraId="768E20E2">
            <w:pPr>
              <w:rPr>
                <w:rFonts w:cstheme="minorHAnsi"/>
                <w:sz w:val="20"/>
                <w:szCs w:val="20"/>
                <w:lang w:val="en-GB" w:eastAsia="ja-JP"/>
              </w:rPr>
            </w:pPr>
            <w:r>
              <w:rPr>
                <w:rFonts w:cstheme="minorHAnsi"/>
                <w:sz w:val="20"/>
                <w:szCs w:val="20"/>
                <w:lang w:val="en-GB" w:eastAsia="ja-JP"/>
              </w:rPr>
              <w:t>9715</w:t>
            </w:r>
          </w:p>
        </w:tc>
      </w:tr>
      <w:tr w14:paraId="38C3624C">
        <w:tc>
          <w:tcPr>
            <w:tcW w:w="2155" w:type="dxa"/>
            <w:shd w:val="clear" w:color="auto" w:fill="ECECEC" w:themeFill="accent3" w:themeFillTint="33"/>
          </w:tcPr>
          <w:p w14:paraId="2AFD3DE6">
            <w:pPr>
              <w:rPr>
                <w:rFonts w:cstheme="minorHAnsi"/>
                <w:b/>
                <w:sz w:val="20"/>
                <w:szCs w:val="20"/>
              </w:rPr>
            </w:pPr>
            <w:r>
              <w:rPr>
                <w:rFonts w:cstheme="minorHAnsi"/>
                <w:b/>
                <w:sz w:val="20"/>
                <w:szCs w:val="20"/>
              </w:rPr>
              <w:t xml:space="preserve">Implementing Partner: </w:t>
            </w:r>
          </w:p>
        </w:tc>
        <w:tc>
          <w:tcPr>
            <w:tcW w:w="7195" w:type="dxa"/>
            <w:gridSpan w:val="3"/>
          </w:tcPr>
          <w:p w14:paraId="41383344">
            <w:pPr>
              <w:rPr>
                <w:rFonts w:cstheme="minorHAnsi"/>
                <w:sz w:val="20"/>
                <w:szCs w:val="20"/>
                <w:lang w:val="en-GB" w:eastAsia="ja-JP"/>
              </w:rPr>
            </w:pPr>
            <w:r>
              <w:rPr>
                <w:rFonts w:cstheme="minorHAnsi"/>
                <w:sz w:val="20"/>
                <w:szCs w:val="20"/>
                <w:lang w:val="en-GB" w:eastAsia="ja-JP"/>
              </w:rPr>
              <w:t>United Nations Development Programme</w:t>
            </w:r>
          </w:p>
        </w:tc>
      </w:tr>
    </w:tbl>
    <w:p w14:paraId="5E26CA9E">
      <w:pPr>
        <w:rPr>
          <w:rFonts w:cstheme="minorHAnsi"/>
          <w:sz w:val="20"/>
          <w:szCs w:val="20"/>
          <w:lang w:val="en-GB" w:eastAsia="ja-JP"/>
        </w:rPr>
      </w:pPr>
    </w:p>
    <w:p w14:paraId="1137E532">
      <w:pPr>
        <w:rPr>
          <w:rFonts w:cstheme="minorHAnsi"/>
          <w:sz w:val="20"/>
          <w:szCs w:val="20"/>
          <w:lang w:val="en-GB" w:eastAsia="ja-JP"/>
        </w:rPr>
      </w:pPr>
    </w:p>
    <w:tbl>
      <w:tblPr>
        <w:tblStyle w:val="24"/>
        <w:tblW w:w="963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1985"/>
        <w:gridCol w:w="1276"/>
        <w:gridCol w:w="708"/>
        <w:gridCol w:w="993"/>
        <w:gridCol w:w="1559"/>
        <w:gridCol w:w="1511"/>
        <w:gridCol w:w="816"/>
        <w:gridCol w:w="782"/>
      </w:tblGrid>
      <w:tr w14:paraId="40E94DCA">
        <w:trPr>
          <w:trHeight w:val="56" w:hRule="atLeast"/>
        </w:trPr>
        <w:tc>
          <w:tcPr>
            <w:tcW w:w="1985" w:type="dxa"/>
            <w:shd w:val="clear" w:color="auto" w:fill="ECECEC" w:themeFill="accent3" w:themeFillTint="33"/>
            <w:noWrap/>
            <w:vAlign w:val="center"/>
          </w:tcPr>
          <w:p w14:paraId="286061D1">
            <w:pPr>
              <w:rPr>
                <w:rFonts w:cstheme="minorHAnsi"/>
                <w:b/>
                <w:bCs/>
                <w:sz w:val="20"/>
                <w:szCs w:val="20"/>
                <w:lang w:val="en-GB"/>
              </w:rPr>
            </w:pPr>
            <w:r>
              <w:rPr>
                <w:rFonts w:cstheme="minorHAnsi"/>
                <w:b/>
                <w:bCs/>
                <w:sz w:val="20"/>
                <w:szCs w:val="20"/>
                <w:lang w:val="en-GB"/>
              </w:rPr>
              <w:t>GEF Outcome/Quantum Activity</w:t>
            </w:r>
          </w:p>
        </w:tc>
        <w:tc>
          <w:tcPr>
            <w:tcW w:w="1276" w:type="dxa"/>
            <w:shd w:val="clear" w:color="auto" w:fill="ECECEC" w:themeFill="accent3" w:themeFillTint="33"/>
            <w:vAlign w:val="center"/>
          </w:tcPr>
          <w:p w14:paraId="149560AD">
            <w:pPr>
              <w:rPr>
                <w:rFonts w:cstheme="minorHAnsi"/>
                <w:b/>
                <w:bCs/>
                <w:sz w:val="20"/>
                <w:szCs w:val="20"/>
                <w:lang w:val="en-GB"/>
              </w:rPr>
            </w:pPr>
            <w:r>
              <w:rPr>
                <w:rFonts w:cstheme="minorHAnsi"/>
                <w:b/>
                <w:bCs/>
                <w:sz w:val="20"/>
                <w:szCs w:val="20"/>
                <w:lang w:val="en-GB"/>
              </w:rPr>
              <w:t>Responsible Party</w:t>
            </w:r>
          </w:p>
        </w:tc>
        <w:tc>
          <w:tcPr>
            <w:tcW w:w="708" w:type="dxa"/>
            <w:shd w:val="clear" w:color="auto" w:fill="ECECEC" w:themeFill="accent3" w:themeFillTint="33"/>
            <w:vAlign w:val="center"/>
          </w:tcPr>
          <w:p w14:paraId="41AA86D8">
            <w:pPr>
              <w:rPr>
                <w:rFonts w:cstheme="minorHAnsi"/>
                <w:b/>
                <w:bCs/>
                <w:sz w:val="20"/>
                <w:szCs w:val="20"/>
                <w:highlight w:val="cyan"/>
                <w:lang w:val="en-GB"/>
              </w:rPr>
            </w:pPr>
            <w:r>
              <w:rPr>
                <w:rFonts w:cstheme="minorHAnsi"/>
                <w:b/>
                <w:bCs/>
                <w:sz w:val="20"/>
                <w:szCs w:val="20"/>
                <w:lang w:val="en-GB"/>
              </w:rPr>
              <w:t>Fund ID</w:t>
            </w:r>
          </w:p>
        </w:tc>
        <w:tc>
          <w:tcPr>
            <w:tcW w:w="993" w:type="dxa"/>
            <w:shd w:val="clear" w:color="auto" w:fill="ECECEC" w:themeFill="accent3" w:themeFillTint="33"/>
            <w:vAlign w:val="center"/>
          </w:tcPr>
          <w:p w14:paraId="4603D693">
            <w:pPr>
              <w:rPr>
                <w:rFonts w:cstheme="minorHAnsi"/>
                <w:b/>
                <w:bCs/>
                <w:sz w:val="20"/>
                <w:szCs w:val="20"/>
                <w:lang w:val="en-GB"/>
              </w:rPr>
            </w:pPr>
            <w:r>
              <w:rPr>
                <w:rFonts w:cstheme="minorHAnsi"/>
                <w:b/>
                <w:bCs/>
                <w:sz w:val="20"/>
                <w:szCs w:val="20"/>
                <w:lang w:val="en-GB"/>
              </w:rPr>
              <w:t>Donor Name</w:t>
            </w:r>
          </w:p>
        </w:tc>
        <w:tc>
          <w:tcPr>
            <w:tcW w:w="1559" w:type="dxa"/>
            <w:shd w:val="clear" w:color="auto" w:fill="ECECEC" w:themeFill="accent3" w:themeFillTint="33"/>
            <w:noWrap/>
            <w:vAlign w:val="center"/>
          </w:tcPr>
          <w:p w14:paraId="1C4B9188">
            <w:pPr>
              <w:rPr>
                <w:rFonts w:cstheme="minorHAnsi"/>
                <w:b/>
                <w:bCs/>
                <w:sz w:val="20"/>
                <w:szCs w:val="20"/>
                <w:lang w:val="en-GB"/>
              </w:rPr>
            </w:pPr>
            <w:r>
              <w:rPr>
                <w:rFonts w:cstheme="minorHAnsi"/>
                <w:b/>
                <w:bCs/>
                <w:sz w:val="20"/>
                <w:szCs w:val="20"/>
                <w:lang w:val="en-GB"/>
              </w:rPr>
              <w:t>Quantum Budgetary Account Code</w:t>
            </w:r>
          </w:p>
        </w:tc>
        <w:tc>
          <w:tcPr>
            <w:tcW w:w="1511" w:type="dxa"/>
            <w:shd w:val="clear" w:color="auto" w:fill="ECECEC" w:themeFill="accent3" w:themeFillTint="33"/>
            <w:vAlign w:val="center"/>
          </w:tcPr>
          <w:p w14:paraId="1A1AD6DD">
            <w:pPr>
              <w:rPr>
                <w:rFonts w:cstheme="minorHAnsi"/>
                <w:b/>
                <w:bCs/>
                <w:sz w:val="20"/>
                <w:szCs w:val="20"/>
                <w:lang w:val="en-GB"/>
              </w:rPr>
            </w:pPr>
            <w:r>
              <w:rPr>
                <w:rFonts w:cstheme="minorHAnsi"/>
                <w:b/>
                <w:bCs/>
                <w:sz w:val="20"/>
                <w:szCs w:val="20"/>
                <w:lang w:val="en-GB"/>
              </w:rPr>
              <w:t>QUANTUM Budget Description</w:t>
            </w:r>
          </w:p>
        </w:tc>
        <w:tc>
          <w:tcPr>
            <w:tcW w:w="816" w:type="dxa"/>
            <w:shd w:val="clear" w:color="auto" w:fill="ECECEC" w:themeFill="accent3" w:themeFillTint="33"/>
            <w:vAlign w:val="center"/>
          </w:tcPr>
          <w:p w14:paraId="12B1A891">
            <w:pPr>
              <w:rPr>
                <w:rFonts w:cstheme="minorHAnsi"/>
                <w:b/>
                <w:bCs/>
                <w:sz w:val="20"/>
                <w:szCs w:val="20"/>
                <w:lang w:val="en-GB"/>
              </w:rPr>
            </w:pPr>
            <w:r>
              <w:rPr>
                <w:rFonts w:cstheme="minorHAnsi"/>
                <w:b/>
                <w:bCs/>
                <w:sz w:val="20"/>
                <w:szCs w:val="20"/>
                <w:lang w:val="en-GB"/>
              </w:rPr>
              <w:t>Amount US$</w:t>
            </w:r>
          </w:p>
        </w:tc>
        <w:tc>
          <w:tcPr>
            <w:tcW w:w="782" w:type="dxa"/>
            <w:shd w:val="clear" w:color="auto" w:fill="ECECEC" w:themeFill="accent3" w:themeFillTint="33"/>
            <w:vAlign w:val="center"/>
          </w:tcPr>
          <w:p w14:paraId="449C72B4">
            <w:pPr>
              <w:rPr>
                <w:rFonts w:cstheme="minorHAnsi"/>
                <w:b/>
                <w:bCs/>
                <w:sz w:val="20"/>
                <w:szCs w:val="20"/>
                <w:lang w:val="en-GB"/>
              </w:rPr>
            </w:pPr>
            <w:r>
              <w:rPr>
                <w:rFonts w:cstheme="minorHAnsi"/>
                <w:b/>
                <w:bCs/>
                <w:sz w:val="20"/>
                <w:szCs w:val="20"/>
                <w:lang w:val="en-GB"/>
              </w:rPr>
              <w:t>Budget Notes</w:t>
            </w:r>
          </w:p>
        </w:tc>
      </w:tr>
      <w:tr w14:paraId="053117C2">
        <w:tc>
          <w:tcPr>
            <w:tcW w:w="1985" w:type="dxa"/>
            <w:vMerge w:val="restart"/>
            <w:shd w:val="clear" w:color="auto" w:fill="auto"/>
            <w:noWrap/>
          </w:tcPr>
          <w:p w14:paraId="515A1586">
            <w:pPr>
              <w:rPr>
                <w:rFonts w:cstheme="minorHAnsi"/>
                <w:b/>
                <w:bCs/>
                <w:sz w:val="20"/>
                <w:szCs w:val="20"/>
                <w:shd w:val="clear" w:color="auto" w:fill="ECECEC" w:themeFill="accent3" w:themeFillTint="33"/>
                <w:lang w:val="en-GB"/>
              </w:rPr>
            </w:pPr>
            <w:r>
              <w:rPr>
                <w:rFonts w:cstheme="minorHAnsi"/>
                <w:b/>
                <w:bCs/>
                <w:sz w:val="20"/>
                <w:szCs w:val="20"/>
                <w:lang w:val="en-GB"/>
              </w:rPr>
              <w:t xml:space="preserve">Project preparation grant to finalize the UNDP-GEF project document for project </w:t>
            </w:r>
            <w:r>
              <w:rPr>
                <w:rFonts w:cstheme="minorHAnsi"/>
                <w:i/>
                <w:iCs/>
                <w:color w:val="000000"/>
                <w:sz w:val="20"/>
                <w:szCs w:val="20"/>
              </w:rPr>
              <w:t>Conserving Biodiversity and Natural Resources through Spatial Planning and Integrated Landscape Management</w:t>
            </w:r>
          </w:p>
        </w:tc>
        <w:tc>
          <w:tcPr>
            <w:tcW w:w="1276" w:type="dxa"/>
            <w:vMerge w:val="restart"/>
            <w:shd w:val="clear" w:color="auto" w:fill="auto"/>
            <w:vAlign w:val="center"/>
          </w:tcPr>
          <w:p w14:paraId="07F8990A">
            <w:pPr>
              <w:rPr>
                <w:rFonts w:cstheme="minorHAnsi"/>
                <w:b/>
                <w:bCs/>
                <w:sz w:val="20"/>
                <w:szCs w:val="20"/>
                <w:lang w:val="en-GB"/>
              </w:rPr>
            </w:pPr>
            <w:r>
              <w:rPr>
                <w:rFonts w:cstheme="minorHAnsi"/>
                <w:b/>
                <w:bCs/>
                <w:sz w:val="20"/>
                <w:szCs w:val="20"/>
                <w:lang w:val="en-GB"/>
              </w:rPr>
              <w:t>UNDP</w:t>
            </w:r>
          </w:p>
        </w:tc>
        <w:tc>
          <w:tcPr>
            <w:tcW w:w="708" w:type="dxa"/>
            <w:vMerge w:val="restart"/>
            <w:shd w:val="clear" w:color="auto" w:fill="auto"/>
            <w:vAlign w:val="center"/>
          </w:tcPr>
          <w:p w14:paraId="6713C290">
            <w:pPr>
              <w:rPr>
                <w:rFonts w:cstheme="minorHAnsi"/>
                <w:b/>
                <w:bCs/>
                <w:sz w:val="20"/>
                <w:szCs w:val="20"/>
                <w:highlight w:val="yellow"/>
                <w:lang w:val="en-GB"/>
              </w:rPr>
            </w:pPr>
            <w:r>
              <w:rPr>
                <w:rFonts w:cstheme="minorHAnsi"/>
                <w:b/>
                <w:bCs/>
                <w:sz w:val="20"/>
                <w:szCs w:val="20"/>
                <w:lang w:val="en-GB"/>
              </w:rPr>
              <w:t>62000</w:t>
            </w:r>
          </w:p>
        </w:tc>
        <w:tc>
          <w:tcPr>
            <w:tcW w:w="993" w:type="dxa"/>
            <w:vMerge w:val="restart"/>
            <w:shd w:val="clear" w:color="auto" w:fill="auto"/>
            <w:vAlign w:val="center"/>
          </w:tcPr>
          <w:p w14:paraId="7C1BF569">
            <w:pPr>
              <w:rPr>
                <w:rFonts w:cstheme="minorHAnsi"/>
                <w:b/>
                <w:bCs/>
                <w:sz w:val="20"/>
                <w:szCs w:val="20"/>
                <w:lang w:val="en-GB"/>
              </w:rPr>
            </w:pPr>
            <w:r>
              <w:rPr>
                <w:rFonts w:cstheme="minorHAnsi"/>
                <w:b/>
                <w:bCs/>
                <w:sz w:val="20"/>
                <w:szCs w:val="20"/>
                <w:lang w:val="en-GB"/>
              </w:rPr>
              <w:t>GEF TRUSTEE</w:t>
            </w:r>
          </w:p>
        </w:tc>
        <w:tc>
          <w:tcPr>
            <w:tcW w:w="1559" w:type="dxa"/>
            <w:shd w:val="clear" w:color="auto" w:fill="auto"/>
            <w:noWrap/>
          </w:tcPr>
          <w:p w14:paraId="57A2BAF3">
            <w:pPr>
              <w:jc w:val="center"/>
              <w:rPr>
                <w:rFonts w:cstheme="minorHAnsi"/>
                <w:sz w:val="20"/>
                <w:szCs w:val="20"/>
                <w:lang w:val="en-GB"/>
              </w:rPr>
            </w:pPr>
            <w:r>
              <w:rPr>
                <w:rFonts w:cstheme="minorHAnsi"/>
                <w:sz w:val="20"/>
                <w:szCs w:val="20"/>
                <w:lang w:val="en-GB"/>
              </w:rPr>
              <w:t>71200</w:t>
            </w:r>
          </w:p>
        </w:tc>
        <w:tc>
          <w:tcPr>
            <w:tcW w:w="1511" w:type="dxa"/>
            <w:shd w:val="clear" w:color="auto" w:fill="auto"/>
          </w:tcPr>
          <w:p w14:paraId="18EAD538">
            <w:pPr>
              <w:rPr>
                <w:rFonts w:cstheme="minorHAnsi"/>
                <w:sz w:val="20"/>
                <w:szCs w:val="20"/>
                <w:lang w:val="en-GB"/>
              </w:rPr>
            </w:pPr>
            <w:r>
              <w:rPr>
                <w:rFonts w:cstheme="minorHAnsi"/>
                <w:sz w:val="20"/>
                <w:szCs w:val="20"/>
                <w:lang w:val="en-GB"/>
              </w:rPr>
              <w:t>International Consultants</w:t>
            </w:r>
          </w:p>
        </w:tc>
        <w:tc>
          <w:tcPr>
            <w:tcW w:w="816" w:type="dxa"/>
          </w:tcPr>
          <w:p w14:paraId="04029020">
            <w:pPr>
              <w:jc w:val="right"/>
              <w:rPr>
                <w:rFonts w:cstheme="minorHAnsi"/>
                <w:b/>
                <w:bCs/>
                <w:sz w:val="20"/>
                <w:szCs w:val="20"/>
                <w:lang w:val="en-GB"/>
              </w:rPr>
            </w:pPr>
            <w:r>
              <w:rPr>
                <w:rFonts w:cstheme="minorHAnsi"/>
                <w:b/>
                <w:bCs/>
                <w:sz w:val="20"/>
                <w:szCs w:val="20"/>
                <w:lang w:val="en-GB"/>
              </w:rPr>
              <w:t>60,000</w:t>
            </w:r>
          </w:p>
        </w:tc>
        <w:tc>
          <w:tcPr>
            <w:tcW w:w="782" w:type="dxa"/>
          </w:tcPr>
          <w:p w14:paraId="715FD9BD">
            <w:pPr>
              <w:jc w:val="center"/>
              <w:rPr>
                <w:rFonts w:cstheme="minorHAnsi"/>
                <w:b/>
                <w:bCs/>
                <w:sz w:val="20"/>
                <w:szCs w:val="20"/>
                <w:lang w:val="en-GB"/>
              </w:rPr>
            </w:pPr>
            <w:r>
              <w:rPr>
                <w:rFonts w:cstheme="minorHAnsi"/>
                <w:b/>
                <w:bCs/>
                <w:sz w:val="20"/>
                <w:szCs w:val="20"/>
                <w:lang w:val="en-GB"/>
              </w:rPr>
              <w:t>1</w:t>
            </w:r>
          </w:p>
        </w:tc>
      </w:tr>
      <w:tr w14:paraId="1A704960">
        <w:tc>
          <w:tcPr>
            <w:tcW w:w="1985" w:type="dxa"/>
            <w:vMerge w:val="continue"/>
            <w:noWrap/>
          </w:tcPr>
          <w:p w14:paraId="476916C3">
            <w:pPr>
              <w:rPr>
                <w:rFonts w:cstheme="minorHAnsi"/>
                <w:b/>
                <w:bCs/>
                <w:sz w:val="20"/>
                <w:szCs w:val="20"/>
                <w:highlight w:val="yellow"/>
                <w:lang w:val="en-GB"/>
              </w:rPr>
            </w:pPr>
          </w:p>
        </w:tc>
        <w:tc>
          <w:tcPr>
            <w:tcW w:w="1276" w:type="dxa"/>
            <w:vMerge w:val="continue"/>
          </w:tcPr>
          <w:p w14:paraId="259B13E7">
            <w:pPr>
              <w:rPr>
                <w:rFonts w:cstheme="minorHAnsi"/>
                <w:b/>
                <w:bCs/>
                <w:sz w:val="20"/>
                <w:szCs w:val="20"/>
                <w:highlight w:val="yellow"/>
                <w:lang w:val="en-GB"/>
              </w:rPr>
            </w:pPr>
          </w:p>
        </w:tc>
        <w:tc>
          <w:tcPr>
            <w:tcW w:w="708" w:type="dxa"/>
            <w:vMerge w:val="continue"/>
          </w:tcPr>
          <w:p w14:paraId="49574F52">
            <w:pPr>
              <w:rPr>
                <w:rFonts w:cstheme="minorHAnsi"/>
                <w:b/>
                <w:bCs/>
                <w:sz w:val="20"/>
                <w:szCs w:val="20"/>
                <w:highlight w:val="yellow"/>
                <w:lang w:val="en-GB"/>
              </w:rPr>
            </w:pPr>
          </w:p>
        </w:tc>
        <w:tc>
          <w:tcPr>
            <w:tcW w:w="993" w:type="dxa"/>
            <w:vMerge w:val="continue"/>
          </w:tcPr>
          <w:p w14:paraId="358AE4CA">
            <w:pPr>
              <w:rPr>
                <w:rFonts w:cstheme="minorHAnsi"/>
                <w:b/>
                <w:bCs/>
                <w:sz w:val="20"/>
                <w:szCs w:val="20"/>
                <w:highlight w:val="yellow"/>
                <w:lang w:val="en-GB"/>
              </w:rPr>
            </w:pPr>
          </w:p>
        </w:tc>
        <w:tc>
          <w:tcPr>
            <w:tcW w:w="1559" w:type="dxa"/>
            <w:shd w:val="clear" w:color="auto" w:fill="auto"/>
            <w:noWrap/>
          </w:tcPr>
          <w:p w14:paraId="2C77F7B8">
            <w:pPr>
              <w:jc w:val="center"/>
              <w:rPr>
                <w:rFonts w:cstheme="minorHAnsi"/>
                <w:sz w:val="20"/>
                <w:szCs w:val="20"/>
                <w:lang w:val="en-GB"/>
              </w:rPr>
            </w:pPr>
            <w:r>
              <w:rPr>
                <w:rFonts w:cstheme="minorHAnsi"/>
                <w:sz w:val="20"/>
                <w:szCs w:val="20"/>
                <w:lang w:val="en-GB"/>
              </w:rPr>
              <w:t>71300</w:t>
            </w:r>
          </w:p>
        </w:tc>
        <w:tc>
          <w:tcPr>
            <w:tcW w:w="1511" w:type="dxa"/>
            <w:shd w:val="clear" w:color="auto" w:fill="auto"/>
          </w:tcPr>
          <w:p w14:paraId="11671B9F">
            <w:pPr>
              <w:rPr>
                <w:rFonts w:cstheme="minorHAnsi"/>
                <w:sz w:val="20"/>
                <w:szCs w:val="20"/>
                <w:lang w:val="en-GB"/>
              </w:rPr>
            </w:pPr>
            <w:r>
              <w:rPr>
                <w:rFonts w:cstheme="minorHAnsi"/>
                <w:sz w:val="20"/>
                <w:szCs w:val="20"/>
                <w:lang w:val="en-GB"/>
              </w:rPr>
              <w:t>Local Consultants</w:t>
            </w:r>
          </w:p>
        </w:tc>
        <w:tc>
          <w:tcPr>
            <w:tcW w:w="816" w:type="dxa"/>
          </w:tcPr>
          <w:p w14:paraId="3B9B6B11">
            <w:pPr>
              <w:jc w:val="right"/>
              <w:rPr>
                <w:rFonts w:cstheme="minorHAnsi"/>
                <w:b/>
                <w:bCs/>
                <w:sz w:val="20"/>
                <w:szCs w:val="20"/>
                <w:lang w:val="en-GB"/>
              </w:rPr>
            </w:pPr>
            <w:r>
              <w:rPr>
                <w:rFonts w:cstheme="minorHAnsi"/>
                <w:b/>
                <w:bCs/>
                <w:sz w:val="20"/>
                <w:szCs w:val="20"/>
                <w:lang w:val="en-GB"/>
              </w:rPr>
              <w:t>34,000</w:t>
            </w:r>
          </w:p>
        </w:tc>
        <w:tc>
          <w:tcPr>
            <w:tcW w:w="782" w:type="dxa"/>
          </w:tcPr>
          <w:p w14:paraId="54674FE1">
            <w:pPr>
              <w:jc w:val="center"/>
              <w:rPr>
                <w:rFonts w:cstheme="minorHAnsi"/>
                <w:b/>
                <w:sz w:val="20"/>
                <w:szCs w:val="20"/>
                <w:lang w:val="en-GB"/>
              </w:rPr>
            </w:pPr>
            <w:r>
              <w:rPr>
                <w:rFonts w:cstheme="minorHAnsi"/>
                <w:b/>
                <w:sz w:val="20"/>
                <w:szCs w:val="20"/>
                <w:lang w:val="en-GB"/>
              </w:rPr>
              <w:t>2</w:t>
            </w:r>
          </w:p>
        </w:tc>
      </w:tr>
      <w:tr w14:paraId="587147E0">
        <w:tc>
          <w:tcPr>
            <w:tcW w:w="1985" w:type="dxa"/>
            <w:vMerge w:val="continue"/>
            <w:noWrap/>
          </w:tcPr>
          <w:p w14:paraId="54866B21">
            <w:pPr>
              <w:rPr>
                <w:rFonts w:cstheme="minorHAnsi"/>
                <w:b/>
                <w:bCs/>
                <w:sz w:val="20"/>
                <w:szCs w:val="20"/>
                <w:highlight w:val="yellow"/>
                <w:lang w:val="en-GB"/>
              </w:rPr>
            </w:pPr>
          </w:p>
        </w:tc>
        <w:tc>
          <w:tcPr>
            <w:tcW w:w="1276" w:type="dxa"/>
            <w:vMerge w:val="continue"/>
          </w:tcPr>
          <w:p w14:paraId="43C8ADAD">
            <w:pPr>
              <w:rPr>
                <w:rFonts w:cstheme="minorHAnsi"/>
                <w:b/>
                <w:bCs/>
                <w:sz w:val="20"/>
                <w:szCs w:val="20"/>
                <w:highlight w:val="yellow"/>
                <w:lang w:val="en-GB"/>
              </w:rPr>
            </w:pPr>
          </w:p>
        </w:tc>
        <w:tc>
          <w:tcPr>
            <w:tcW w:w="708" w:type="dxa"/>
            <w:vMerge w:val="continue"/>
          </w:tcPr>
          <w:p w14:paraId="04BB93C7">
            <w:pPr>
              <w:rPr>
                <w:rFonts w:cstheme="minorHAnsi"/>
                <w:b/>
                <w:bCs/>
                <w:sz w:val="20"/>
                <w:szCs w:val="20"/>
                <w:highlight w:val="yellow"/>
                <w:lang w:val="en-GB"/>
              </w:rPr>
            </w:pPr>
          </w:p>
        </w:tc>
        <w:tc>
          <w:tcPr>
            <w:tcW w:w="993" w:type="dxa"/>
            <w:vMerge w:val="continue"/>
          </w:tcPr>
          <w:p w14:paraId="2B20E92C">
            <w:pPr>
              <w:rPr>
                <w:rFonts w:cstheme="minorHAnsi"/>
                <w:b/>
                <w:bCs/>
                <w:sz w:val="20"/>
                <w:szCs w:val="20"/>
                <w:highlight w:val="yellow"/>
                <w:lang w:val="en-GB"/>
              </w:rPr>
            </w:pPr>
          </w:p>
        </w:tc>
        <w:tc>
          <w:tcPr>
            <w:tcW w:w="1559" w:type="dxa"/>
            <w:shd w:val="clear" w:color="auto" w:fill="auto"/>
            <w:noWrap/>
          </w:tcPr>
          <w:p w14:paraId="289E1973">
            <w:pPr>
              <w:jc w:val="center"/>
              <w:rPr>
                <w:rFonts w:cstheme="minorHAnsi"/>
                <w:sz w:val="20"/>
                <w:szCs w:val="20"/>
                <w:lang w:val="en-GB"/>
              </w:rPr>
            </w:pPr>
            <w:r>
              <w:rPr>
                <w:rFonts w:cstheme="minorHAnsi"/>
                <w:sz w:val="20"/>
                <w:szCs w:val="20"/>
                <w:lang w:val="en-GB"/>
              </w:rPr>
              <w:t>71400</w:t>
            </w:r>
          </w:p>
        </w:tc>
        <w:tc>
          <w:tcPr>
            <w:tcW w:w="1511" w:type="dxa"/>
            <w:shd w:val="clear" w:color="auto" w:fill="auto"/>
          </w:tcPr>
          <w:p w14:paraId="544309CC">
            <w:pPr>
              <w:rPr>
                <w:rFonts w:eastAsia="宋体" w:cstheme="minorHAnsi"/>
                <w:sz w:val="20"/>
                <w:szCs w:val="20"/>
                <w:lang w:val="en-GB" w:eastAsia="zh-CN"/>
              </w:rPr>
            </w:pPr>
            <w:r>
              <w:rPr>
                <w:rFonts w:cstheme="minorHAnsi"/>
                <w:sz w:val="20"/>
                <w:szCs w:val="20"/>
              </w:rPr>
              <w:t>Contractual Services – Individ</w:t>
            </w:r>
            <w:r>
              <w:rPr>
                <w:rFonts w:eastAsia="宋体" w:cstheme="minorHAnsi"/>
                <w:sz w:val="20"/>
                <w:szCs w:val="20"/>
                <w:lang w:eastAsia="zh-CN"/>
              </w:rPr>
              <w:t>ual</w:t>
            </w:r>
          </w:p>
        </w:tc>
        <w:tc>
          <w:tcPr>
            <w:tcW w:w="816" w:type="dxa"/>
          </w:tcPr>
          <w:p w14:paraId="2ADBB9B7">
            <w:pPr>
              <w:jc w:val="right"/>
              <w:rPr>
                <w:rFonts w:cstheme="minorHAnsi"/>
                <w:b/>
                <w:bCs/>
                <w:sz w:val="20"/>
                <w:szCs w:val="20"/>
                <w:lang w:val="en-GB"/>
              </w:rPr>
            </w:pPr>
            <w:r>
              <w:rPr>
                <w:rFonts w:cstheme="minorHAnsi"/>
                <w:b/>
                <w:bCs/>
                <w:sz w:val="20"/>
                <w:szCs w:val="20"/>
                <w:lang w:val="en-GB"/>
              </w:rPr>
              <w:t>22,100</w:t>
            </w:r>
          </w:p>
        </w:tc>
        <w:tc>
          <w:tcPr>
            <w:tcW w:w="782" w:type="dxa"/>
          </w:tcPr>
          <w:p w14:paraId="4A707CD1">
            <w:pPr>
              <w:jc w:val="center"/>
              <w:rPr>
                <w:rFonts w:cstheme="minorHAnsi"/>
                <w:b/>
                <w:bCs/>
                <w:sz w:val="20"/>
                <w:szCs w:val="20"/>
                <w:lang w:val="en-GB"/>
              </w:rPr>
            </w:pPr>
            <w:r>
              <w:rPr>
                <w:rFonts w:cstheme="minorHAnsi"/>
                <w:b/>
                <w:bCs/>
                <w:sz w:val="20"/>
                <w:szCs w:val="20"/>
                <w:lang w:val="en-GB"/>
              </w:rPr>
              <w:t>3</w:t>
            </w:r>
          </w:p>
        </w:tc>
      </w:tr>
      <w:tr w14:paraId="0BF6CF72">
        <w:tc>
          <w:tcPr>
            <w:tcW w:w="1985" w:type="dxa"/>
            <w:vMerge w:val="continue"/>
            <w:noWrap/>
          </w:tcPr>
          <w:p w14:paraId="60BBAB29">
            <w:pPr>
              <w:rPr>
                <w:rFonts w:cstheme="minorHAnsi"/>
                <w:b/>
                <w:bCs/>
                <w:sz w:val="20"/>
                <w:szCs w:val="20"/>
                <w:highlight w:val="yellow"/>
                <w:lang w:val="en-GB"/>
              </w:rPr>
            </w:pPr>
          </w:p>
        </w:tc>
        <w:tc>
          <w:tcPr>
            <w:tcW w:w="1276" w:type="dxa"/>
            <w:vMerge w:val="continue"/>
          </w:tcPr>
          <w:p w14:paraId="1AA22215">
            <w:pPr>
              <w:rPr>
                <w:rFonts w:cstheme="minorHAnsi"/>
                <w:b/>
                <w:bCs/>
                <w:sz w:val="20"/>
                <w:szCs w:val="20"/>
                <w:highlight w:val="yellow"/>
                <w:lang w:val="en-GB"/>
              </w:rPr>
            </w:pPr>
          </w:p>
        </w:tc>
        <w:tc>
          <w:tcPr>
            <w:tcW w:w="708" w:type="dxa"/>
            <w:vMerge w:val="continue"/>
          </w:tcPr>
          <w:p w14:paraId="59023F77">
            <w:pPr>
              <w:rPr>
                <w:rFonts w:cstheme="minorHAnsi"/>
                <w:b/>
                <w:bCs/>
                <w:sz w:val="20"/>
                <w:szCs w:val="20"/>
                <w:highlight w:val="yellow"/>
                <w:lang w:val="en-GB"/>
              </w:rPr>
            </w:pPr>
          </w:p>
        </w:tc>
        <w:tc>
          <w:tcPr>
            <w:tcW w:w="993" w:type="dxa"/>
            <w:vMerge w:val="continue"/>
          </w:tcPr>
          <w:p w14:paraId="4649AF24">
            <w:pPr>
              <w:rPr>
                <w:rFonts w:cstheme="minorHAnsi"/>
                <w:b/>
                <w:bCs/>
                <w:sz w:val="20"/>
                <w:szCs w:val="20"/>
                <w:highlight w:val="yellow"/>
                <w:lang w:val="en-GB"/>
              </w:rPr>
            </w:pPr>
          </w:p>
        </w:tc>
        <w:tc>
          <w:tcPr>
            <w:tcW w:w="1559" w:type="dxa"/>
            <w:shd w:val="clear" w:color="auto" w:fill="auto"/>
            <w:noWrap/>
          </w:tcPr>
          <w:p w14:paraId="13D0DC09">
            <w:pPr>
              <w:jc w:val="center"/>
              <w:rPr>
                <w:rFonts w:cstheme="minorHAnsi"/>
                <w:sz w:val="20"/>
                <w:szCs w:val="20"/>
                <w:lang w:val="en-GB"/>
              </w:rPr>
            </w:pPr>
            <w:r>
              <w:rPr>
                <w:rFonts w:cstheme="minorHAnsi"/>
                <w:sz w:val="20"/>
                <w:szCs w:val="20"/>
                <w:lang w:val="en-GB"/>
              </w:rPr>
              <w:t>71600</w:t>
            </w:r>
          </w:p>
        </w:tc>
        <w:tc>
          <w:tcPr>
            <w:tcW w:w="1511" w:type="dxa"/>
            <w:shd w:val="clear" w:color="auto" w:fill="auto"/>
          </w:tcPr>
          <w:p w14:paraId="4E960495">
            <w:pPr>
              <w:rPr>
                <w:rFonts w:cstheme="minorHAnsi"/>
                <w:sz w:val="20"/>
                <w:szCs w:val="20"/>
                <w:lang w:val="en-GB"/>
              </w:rPr>
            </w:pPr>
            <w:r>
              <w:rPr>
                <w:rFonts w:cstheme="minorHAnsi"/>
                <w:sz w:val="20"/>
                <w:szCs w:val="20"/>
                <w:lang w:val="en-GB"/>
              </w:rPr>
              <w:t>Travel</w:t>
            </w:r>
          </w:p>
        </w:tc>
        <w:tc>
          <w:tcPr>
            <w:tcW w:w="816" w:type="dxa"/>
          </w:tcPr>
          <w:p w14:paraId="6C3AB49F">
            <w:pPr>
              <w:jc w:val="right"/>
              <w:rPr>
                <w:rFonts w:cstheme="minorHAnsi"/>
                <w:b/>
                <w:bCs/>
                <w:sz w:val="20"/>
                <w:szCs w:val="20"/>
                <w:lang w:val="en-GB"/>
              </w:rPr>
            </w:pPr>
            <w:r>
              <w:rPr>
                <w:rFonts w:cstheme="minorHAnsi"/>
                <w:b/>
                <w:bCs/>
                <w:sz w:val="20"/>
                <w:szCs w:val="20"/>
                <w:lang w:val="en-GB"/>
              </w:rPr>
              <w:t>24,900</w:t>
            </w:r>
          </w:p>
        </w:tc>
        <w:tc>
          <w:tcPr>
            <w:tcW w:w="782" w:type="dxa"/>
          </w:tcPr>
          <w:p w14:paraId="23303891">
            <w:pPr>
              <w:jc w:val="center"/>
              <w:rPr>
                <w:rFonts w:cstheme="minorHAnsi"/>
                <w:b/>
                <w:bCs/>
                <w:sz w:val="20"/>
                <w:szCs w:val="20"/>
                <w:lang w:val="en-GB"/>
              </w:rPr>
            </w:pPr>
            <w:r>
              <w:rPr>
                <w:rFonts w:cstheme="minorHAnsi"/>
                <w:b/>
                <w:bCs/>
                <w:sz w:val="20"/>
                <w:szCs w:val="20"/>
                <w:lang w:val="en-GB"/>
              </w:rPr>
              <w:t>4</w:t>
            </w:r>
          </w:p>
        </w:tc>
      </w:tr>
      <w:tr w14:paraId="422C9187">
        <w:tc>
          <w:tcPr>
            <w:tcW w:w="1985" w:type="dxa"/>
            <w:vMerge w:val="continue"/>
            <w:noWrap/>
          </w:tcPr>
          <w:p w14:paraId="07F8B299">
            <w:pPr>
              <w:rPr>
                <w:rFonts w:cstheme="minorHAnsi"/>
                <w:sz w:val="20"/>
                <w:szCs w:val="20"/>
                <w:highlight w:val="yellow"/>
                <w:lang w:val="en-GB"/>
              </w:rPr>
            </w:pPr>
          </w:p>
        </w:tc>
        <w:tc>
          <w:tcPr>
            <w:tcW w:w="1276" w:type="dxa"/>
            <w:vMerge w:val="continue"/>
          </w:tcPr>
          <w:p w14:paraId="6AE84F54">
            <w:pPr>
              <w:rPr>
                <w:rFonts w:cstheme="minorHAnsi"/>
                <w:b/>
                <w:bCs/>
                <w:sz w:val="20"/>
                <w:szCs w:val="20"/>
                <w:highlight w:val="yellow"/>
                <w:lang w:val="en-GB"/>
              </w:rPr>
            </w:pPr>
          </w:p>
        </w:tc>
        <w:tc>
          <w:tcPr>
            <w:tcW w:w="708" w:type="dxa"/>
            <w:vMerge w:val="continue"/>
          </w:tcPr>
          <w:p w14:paraId="6D3828BF">
            <w:pPr>
              <w:rPr>
                <w:rFonts w:cstheme="minorHAnsi"/>
                <w:b/>
                <w:bCs/>
                <w:sz w:val="20"/>
                <w:szCs w:val="20"/>
                <w:highlight w:val="yellow"/>
                <w:lang w:val="en-GB"/>
              </w:rPr>
            </w:pPr>
          </w:p>
        </w:tc>
        <w:tc>
          <w:tcPr>
            <w:tcW w:w="993" w:type="dxa"/>
            <w:vMerge w:val="continue"/>
          </w:tcPr>
          <w:p w14:paraId="1E80227F">
            <w:pPr>
              <w:rPr>
                <w:rFonts w:cstheme="minorHAnsi"/>
                <w:b/>
                <w:bCs/>
                <w:sz w:val="20"/>
                <w:szCs w:val="20"/>
                <w:highlight w:val="yellow"/>
                <w:lang w:val="en-GB"/>
              </w:rPr>
            </w:pPr>
          </w:p>
        </w:tc>
        <w:tc>
          <w:tcPr>
            <w:tcW w:w="1559" w:type="dxa"/>
            <w:shd w:val="clear" w:color="auto" w:fill="auto"/>
            <w:noWrap/>
          </w:tcPr>
          <w:p w14:paraId="34B82666">
            <w:pPr>
              <w:jc w:val="center"/>
              <w:rPr>
                <w:rFonts w:cstheme="minorHAnsi"/>
                <w:sz w:val="20"/>
                <w:szCs w:val="20"/>
                <w:lang w:val="en-GB"/>
              </w:rPr>
            </w:pPr>
            <w:r>
              <w:rPr>
                <w:rFonts w:cstheme="minorHAnsi"/>
                <w:sz w:val="20"/>
                <w:szCs w:val="20"/>
                <w:lang w:val="en-GB"/>
              </w:rPr>
              <w:t>72500</w:t>
            </w:r>
          </w:p>
        </w:tc>
        <w:tc>
          <w:tcPr>
            <w:tcW w:w="1511" w:type="dxa"/>
            <w:shd w:val="clear" w:color="auto" w:fill="auto"/>
          </w:tcPr>
          <w:p w14:paraId="17A5DCBE">
            <w:pPr>
              <w:rPr>
                <w:rFonts w:cstheme="minorHAnsi"/>
                <w:sz w:val="20"/>
                <w:szCs w:val="20"/>
                <w:lang w:val="en-GB"/>
              </w:rPr>
            </w:pPr>
            <w:r>
              <w:rPr>
                <w:rFonts w:cstheme="minorHAnsi"/>
                <w:sz w:val="20"/>
                <w:szCs w:val="20"/>
                <w:lang w:val="en-GB"/>
              </w:rPr>
              <w:t>Supplies</w:t>
            </w:r>
          </w:p>
        </w:tc>
        <w:tc>
          <w:tcPr>
            <w:tcW w:w="816" w:type="dxa"/>
          </w:tcPr>
          <w:p w14:paraId="511215A7">
            <w:pPr>
              <w:jc w:val="right"/>
              <w:rPr>
                <w:rFonts w:cstheme="minorHAnsi"/>
                <w:b/>
                <w:bCs/>
                <w:sz w:val="20"/>
                <w:szCs w:val="20"/>
                <w:lang w:val="en-GB"/>
              </w:rPr>
            </w:pPr>
            <w:r>
              <w:rPr>
                <w:rFonts w:cstheme="minorHAnsi"/>
                <w:b/>
                <w:bCs/>
                <w:sz w:val="20"/>
                <w:szCs w:val="20"/>
                <w:lang w:val="en-GB"/>
              </w:rPr>
              <w:t>1,000</w:t>
            </w:r>
          </w:p>
        </w:tc>
        <w:tc>
          <w:tcPr>
            <w:tcW w:w="782" w:type="dxa"/>
          </w:tcPr>
          <w:p w14:paraId="3DD57D16">
            <w:pPr>
              <w:jc w:val="center"/>
              <w:rPr>
                <w:rFonts w:cstheme="minorHAnsi"/>
                <w:b/>
                <w:bCs/>
                <w:sz w:val="20"/>
                <w:szCs w:val="20"/>
                <w:lang w:val="en-GB"/>
              </w:rPr>
            </w:pPr>
            <w:r>
              <w:rPr>
                <w:rFonts w:cstheme="minorHAnsi"/>
                <w:b/>
                <w:bCs/>
                <w:sz w:val="20"/>
                <w:szCs w:val="20"/>
                <w:lang w:val="en-GB"/>
              </w:rPr>
              <w:t>5</w:t>
            </w:r>
          </w:p>
        </w:tc>
      </w:tr>
      <w:tr w14:paraId="6385692F">
        <w:tc>
          <w:tcPr>
            <w:tcW w:w="1985" w:type="dxa"/>
            <w:vMerge w:val="continue"/>
            <w:noWrap/>
          </w:tcPr>
          <w:p w14:paraId="0D78AF12">
            <w:pPr>
              <w:rPr>
                <w:rFonts w:cstheme="minorHAnsi"/>
                <w:sz w:val="20"/>
                <w:szCs w:val="20"/>
                <w:highlight w:val="yellow"/>
                <w:lang w:val="en-GB"/>
              </w:rPr>
            </w:pPr>
          </w:p>
        </w:tc>
        <w:tc>
          <w:tcPr>
            <w:tcW w:w="1276" w:type="dxa"/>
            <w:vMerge w:val="continue"/>
          </w:tcPr>
          <w:p w14:paraId="69E10D65">
            <w:pPr>
              <w:rPr>
                <w:rFonts w:cstheme="minorHAnsi"/>
                <w:b/>
                <w:bCs/>
                <w:sz w:val="20"/>
                <w:szCs w:val="20"/>
                <w:highlight w:val="yellow"/>
                <w:lang w:val="en-GB"/>
              </w:rPr>
            </w:pPr>
          </w:p>
        </w:tc>
        <w:tc>
          <w:tcPr>
            <w:tcW w:w="708" w:type="dxa"/>
            <w:vMerge w:val="continue"/>
          </w:tcPr>
          <w:p w14:paraId="79CBBCF2">
            <w:pPr>
              <w:rPr>
                <w:rFonts w:cstheme="minorHAnsi"/>
                <w:b/>
                <w:bCs/>
                <w:sz w:val="20"/>
                <w:szCs w:val="20"/>
                <w:highlight w:val="yellow"/>
                <w:lang w:val="en-GB"/>
              </w:rPr>
            </w:pPr>
          </w:p>
        </w:tc>
        <w:tc>
          <w:tcPr>
            <w:tcW w:w="993" w:type="dxa"/>
            <w:vMerge w:val="continue"/>
          </w:tcPr>
          <w:p w14:paraId="181C8747">
            <w:pPr>
              <w:rPr>
                <w:rFonts w:cstheme="minorHAnsi"/>
                <w:b/>
                <w:bCs/>
                <w:sz w:val="20"/>
                <w:szCs w:val="20"/>
                <w:highlight w:val="yellow"/>
                <w:lang w:val="en-GB"/>
              </w:rPr>
            </w:pPr>
          </w:p>
        </w:tc>
        <w:tc>
          <w:tcPr>
            <w:tcW w:w="1559" w:type="dxa"/>
            <w:shd w:val="clear" w:color="auto" w:fill="auto"/>
            <w:noWrap/>
          </w:tcPr>
          <w:p w14:paraId="197E6FE9">
            <w:pPr>
              <w:jc w:val="center"/>
              <w:rPr>
                <w:rFonts w:cstheme="minorHAnsi"/>
                <w:sz w:val="20"/>
                <w:szCs w:val="20"/>
                <w:lang w:val="en-GB"/>
              </w:rPr>
            </w:pPr>
            <w:r>
              <w:rPr>
                <w:rFonts w:cstheme="minorHAnsi"/>
                <w:sz w:val="20"/>
                <w:szCs w:val="20"/>
                <w:lang w:val="en-GB"/>
              </w:rPr>
              <w:t>75700</w:t>
            </w:r>
          </w:p>
        </w:tc>
        <w:tc>
          <w:tcPr>
            <w:tcW w:w="1511" w:type="dxa"/>
            <w:shd w:val="clear" w:color="auto" w:fill="auto"/>
          </w:tcPr>
          <w:p w14:paraId="2297EB34">
            <w:pPr>
              <w:rPr>
                <w:rFonts w:cstheme="minorHAnsi"/>
                <w:sz w:val="20"/>
                <w:szCs w:val="20"/>
                <w:lang w:val="en-GB"/>
              </w:rPr>
            </w:pPr>
            <w:r>
              <w:rPr>
                <w:rFonts w:cstheme="minorHAnsi"/>
                <w:sz w:val="20"/>
                <w:szCs w:val="20"/>
                <w:lang w:val="en-GB"/>
              </w:rPr>
              <w:t>Trainings, workshops</w:t>
            </w:r>
          </w:p>
        </w:tc>
        <w:tc>
          <w:tcPr>
            <w:tcW w:w="816" w:type="dxa"/>
          </w:tcPr>
          <w:p w14:paraId="3926EE27">
            <w:pPr>
              <w:jc w:val="right"/>
              <w:rPr>
                <w:rFonts w:cstheme="minorHAnsi"/>
                <w:b/>
                <w:bCs/>
                <w:sz w:val="20"/>
                <w:szCs w:val="20"/>
                <w:lang w:val="en-GB"/>
              </w:rPr>
            </w:pPr>
            <w:r>
              <w:rPr>
                <w:rFonts w:cstheme="minorHAnsi"/>
                <w:b/>
                <w:bCs/>
                <w:sz w:val="20"/>
                <w:szCs w:val="20"/>
                <w:lang w:val="en-GB"/>
              </w:rPr>
              <w:t>5,000</w:t>
            </w:r>
          </w:p>
        </w:tc>
        <w:tc>
          <w:tcPr>
            <w:tcW w:w="782" w:type="dxa"/>
          </w:tcPr>
          <w:p w14:paraId="258B13DA">
            <w:pPr>
              <w:jc w:val="center"/>
              <w:rPr>
                <w:rFonts w:cstheme="minorHAnsi"/>
                <w:b/>
                <w:bCs/>
                <w:sz w:val="20"/>
                <w:szCs w:val="20"/>
                <w:lang w:val="en-GB"/>
              </w:rPr>
            </w:pPr>
            <w:r>
              <w:rPr>
                <w:rFonts w:cstheme="minorHAnsi"/>
                <w:b/>
                <w:bCs/>
                <w:sz w:val="20"/>
                <w:szCs w:val="20"/>
                <w:lang w:val="en-GB"/>
              </w:rPr>
              <w:t>6</w:t>
            </w:r>
          </w:p>
        </w:tc>
      </w:tr>
      <w:tr w14:paraId="0F2E85B6">
        <w:trPr>
          <w:trHeight w:val="300" w:hRule="atLeast"/>
        </w:trPr>
        <w:tc>
          <w:tcPr>
            <w:tcW w:w="1985" w:type="dxa"/>
            <w:vMerge w:val="continue"/>
            <w:noWrap/>
          </w:tcPr>
          <w:p w14:paraId="7EEAC4DB">
            <w:pPr>
              <w:rPr>
                <w:rFonts w:cstheme="minorHAnsi"/>
              </w:rPr>
            </w:pPr>
          </w:p>
        </w:tc>
        <w:tc>
          <w:tcPr>
            <w:tcW w:w="1276" w:type="dxa"/>
            <w:vMerge w:val="continue"/>
            <w:vAlign w:val="center"/>
          </w:tcPr>
          <w:p w14:paraId="32DE24EC">
            <w:pPr>
              <w:rPr>
                <w:rFonts w:cstheme="minorHAnsi"/>
              </w:rPr>
            </w:pPr>
          </w:p>
        </w:tc>
        <w:tc>
          <w:tcPr>
            <w:tcW w:w="708" w:type="dxa"/>
            <w:vMerge w:val="continue"/>
            <w:vAlign w:val="center"/>
          </w:tcPr>
          <w:p w14:paraId="51A9D7D7">
            <w:pPr>
              <w:rPr>
                <w:rFonts w:cstheme="minorHAnsi"/>
              </w:rPr>
            </w:pPr>
          </w:p>
        </w:tc>
        <w:tc>
          <w:tcPr>
            <w:tcW w:w="993" w:type="dxa"/>
            <w:vMerge w:val="continue"/>
            <w:vAlign w:val="center"/>
          </w:tcPr>
          <w:p w14:paraId="4385C7F3">
            <w:pPr>
              <w:rPr>
                <w:rFonts w:cstheme="minorHAnsi"/>
              </w:rPr>
            </w:pPr>
          </w:p>
        </w:tc>
        <w:tc>
          <w:tcPr>
            <w:tcW w:w="1559" w:type="dxa"/>
            <w:tcBorders>
              <w:bottom w:val="single" w:color="auto" w:sz="4" w:space="0"/>
            </w:tcBorders>
            <w:shd w:val="clear" w:color="auto" w:fill="auto"/>
            <w:noWrap/>
          </w:tcPr>
          <w:p w14:paraId="72A26579">
            <w:pPr>
              <w:jc w:val="center"/>
              <w:rPr>
                <w:rFonts w:cstheme="minorHAnsi"/>
                <w:sz w:val="20"/>
                <w:szCs w:val="20"/>
              </w:rPr>
            </w:pPr>
            <w:r>
              <w:rPr>
                <w:rFonts w:cstheme="minorHAnsi"/>
                <w:sz w:val="20"/>
                <w:szCs w:val="20"/>
              </w:rPr>
              <w:t>74110</w:t>
            </w:r>
          </w:p>
        </w:tc>
        <w:tc>
          <w:tcPr>
            <w:tcW w:w="1511" w:type="dxa"/>
            <w:shd w:val="clear" w:color="auto" w:fill="auto"/>
          </w:tcPr>
          <w:p w14:paraId="74E0CB7A">
            <w:pPr>
              <w:rPr>
                <w:rFonts w:cstheme="minorHAnsi"/>
                <w:sz w:val="20"/>
                <w:szCs w:val="20"/>
                <w:lang w:val="en-GB"/>
              </w:rPr>
            </w:pPr>
            <w:r>
              <w:rPr>
                <w:rFonts w:cstheme="minorHAnsi"/>
                <w:sz w:val="20"/>
                <w:szCs w:val="20"/>
                <w:lang w:val="en-GB"/>
              </w:rPr>
              <w:t>Audit Fees</w:t>
            </w:r>
          </w:p>
        </w:tc>
        <w:tc>
          <w:tcPr>
            <w:tcW w:w="816" w:type="dxa"/>
          </w:tcPr>
          <w:p w14:paraId="1813A5D7">
            <w:pPr>
              <w:jc w:val="right"/>
              <w:rPr>
                <w:rFonts w:cstheme="minorHAnsi"/>
                <w:b/>
                <w:bCs/>
                <w:sz w:val="20"/>
                <w:szCs w:val="20"/>
                <w:lang w:val="en-GB"/>
              </w:rPr>
            </w:pPr>
            <w:r>
              <w:rPr>
                <w:rFonts w:cstheme="minorHAnsi"/>
                <w:b/>
                <w:bCs/>
                <w:sz w:val="20"/>
                <w:szCs w:val="20"/>
                <w:lang w:val="en-GB"/>
              </w:rPr>
              <w:t>3,000</w:t>
            </w:r>
          </w:p>
        </w:tc>
        <w:tc>
          <w:tcPr>
            <w:tcW w:w="782" w:type="dxa"/>
          </w:tcPr>
          <w:p w14:paraId="5C20E785">
            <w:pPr>
              <w:jc w:val="center"/>
              <w:rPr>
                <w:rFonts w:cstheme="minorHAnsi"/>
                <w:b/>
                <w:bCs/>
                <w:sz w:val="20"/>
                <w:szCs w:val="20"/>
                <w:lang w:val="en-GB"/>
              </w:rPr>
            </w:pPr>
            <w:r>
              <w:rPr>
                <w:rFonts w:cstheme="minorHAnsi"/>
                <w:b/>
                <w:bCs/>
                <w:sz w:val="20"/>
                <w:szCs w:val="20"/>
                <w:lang w:val="en-GB"/>
              </w:rPr>
              <w:t>7</w:t>
            </w:r>
          </w:p>
        </w:tc>
      </w:tr>
      <w:tr w14:paraId="6DC4E839">
        <w:trPr>
          <w:trHeight w:val="534" w:hRule="atLeast"/>
        </w:trPr>
        <w:tc>
          <w:tcPr>
            <w:tcW w:w="1985" w:type="dxa"/>
            <w:tcBorders>
              <w:left w:val="nil"/>
              <w:bottom w:val="nil"/>
              <w:right w:val="nil"/>
            </w:tcBorders>
            <w:shd w:val="clear" w:color="auto" w:fill="auto"/>
            <w:noWrap/>
          </w:tcPr>
          <w:p w14:paraId="612E936B">
            <w:pPr>
              <w:rPr>
                <w:rFonts w:cstheme="minorHAnsi"/>
                <w:b/>
                <w:bCs/>
                <w:sz w:val="20"/>
                <w:szCs w:val="20"/>
                <w:highlight w:val="yellow"/>
                <w:lang w:val="en-GB"/>
              </w:rPr>
            </w:pPr>
          </w:p>
          <w:p w14:paraId="52DA668F">
            <w:pPr>
              <w:rPr>
                <w:rFonts w:cstheme="minorHAnsi"/>
                <w:b/>
                <w:bCs/>
                <w:sz w:val="20"/>
                <w:szCs w:val="20"/>
                <w:highlight w:val="yellow"/>
                <w:lang w:val="en-GB"/>
              </w:rPr>
            </w:pPr>
          </w:p>
          <w:p w14:paraId="1F9D4B00">
            <w:pPr>
              <w:rPr>
                <w:rFonts w:cstheme="minorHAnsi"/>
                <w:b/>
                <w:bCs/>
                <w:sz w:val="20"/>
                <w:szCs w:val="20"/>
                <w:highlight w:val="yellow"/>
                <w:lang w:val="en-GB"/>
              </w:rPr>
            </w:pPr>
          </w:p>
        </w:tc>
        <w:tc>
          <w:tcPr>
            <w:tcW w:w="1276" w:type="dxa"/>
            <w:tcBorders>
              <w:left w:val="nil"/>
              <w:bottom w:val="nil"/>
              <w:right w:val="nil"/>
            </w:tcBorders>
            <w:shd w:val="clear" w:color="auto" w:fill="auto"/>
          </w:tcPr>
          <w:p w14:paraId="70530AAD">
            <w:pPr>
              <w:rPr>
                <w:rFonts w:cstheme="minorHAnsi"/>
                <w:b/>
                <w:bCs/>
                <w:sz w:val="20"/>
                <w:szCs w:val="20"/>
                <w:highlight w:val="yellow"/>
                <w:lang w:val="en-GB"/>
              </w:rPr>
            </w:pPr>
          </w:p>
        </w:tc>
        <w:tc>
          <w:tcPr>
            <w:tcW w:w="708" w:type="dxa"/>
            <w:tcBorders>
              <w:left w:val="nil"/>
              <w:bottom w:val="nil"/>
              <w:right w:val="nil"/>
            </w:tcBorders>
            <w:shd w:val="clear" w:color="auto" w:fill="auto"/>
          </w:tcPr>
          <w:p w14:paraId="3CCD7A38">
            <w:pPr>
              <w:rPr>
                <w:rFonts w:cstheme="minorHAnsi"/>
                <w:b/>
                <w:bCs/>
                <w:sz w:val="20"/>
                <w:szCs w:val="20"/>
                <w:highlight w:val="yellow"/>
                <w:lang w:val="en-GB"/>
              </w:rPr>
            </w:pPr>
          </w:p>
        </w:tc>
        <w:tc>
          <w:tcPr>
            <w:tcW w:w="993" w:type="dxa"/>
            <w:tcBorders>
              <w:left w:val="nil"/>
              <w:bottom w:val="nil"/>
              <w:right w:val="nil"/>
            </w:tcBorders>
            <w:shd w:val="clear" w:color="auto" w:fill="auto"/>
          </w:tcPr>
          <w:p w14:paraId="31D69B6C">
            <w:pPr>
              <w:rPr>
                <w:rFonts w:cstheme="minorHAnsi"/>
                <w:b/>
                <w:bCs/>
                <w:sz w:val="20"/>
                <w:szCs w:val="20"/>
                <w:highlight w:val="yellow"/>
                <w:lang w:val="en-GB"/>
              </w:rPr>
            </w:pPr>
          </w:p>
        </w:tc>
        <w:tc>
          <w:tcPr>
            <w:tcW w:w="1559" w:type="dxa"/>
            <w:tcBorders>
              <w:left w:val="nil"/>
              <w:bottom w:val="nil"/>
            </w:tcBorders>
            <w:shd w:val="clear" w:color="auto" w:fill="auto"/>
            <w:noWrap/>
          </w:tcPr>
          <w:p w14:paraId="1115595A">
            <w:pPr>
              <w:rPr>
                <w:rFonts w:cstheme="minorHAnsi"/>
                <w:b/>
                <w:bCs/>
                <w:sz w:val="20"/>
                <w:szCs w:val="20"/>
                <w:highlight w:val="yellow"/>
                <w:lang w:val="en-GB"/>
              </w:rPr>
            </w:pPr>
          </w:p>
        </w:tc>
        <w:tc>
          <w:tcPr>
            <w:tcW w:w="1511" w:type="dxa"/>
            <w:shd w:val="clear" w:color="auto" w:fill="auto"/>
          </w:tcPr>
          <w:p w14:paraId="7B11805F">
            <w:pPr>
              <w:rPr>
                <w:rFonts w:cstheme="minorHAnsi"/>
                <w:b/>
                <w:bCs/>
                <w:sz w:val="20"/>
                <w:szCs w:val="20"/>
                <w:lang w:val="en-GB"/>
              </w:rPr>
            </w:pPr>
            <w:r>
              <w:rPr>
                <w:rFonts w:cstheme="minorHAnsi"/>
                <w:b/>
                <w:bCs/>
                <w:sz w:val="20"/>
                <w:szCs w:val="20"/>
                <w:lang w:val="en-GB"/>
              </w:rPr>
              <w:t>PROJECT TOTAL</w:t>
            </w:r>
          </w:p>
        </w:tc>
        <w:tc>
          <w:tcPr>
            <w:tcW w:w="816" w:type="dxa"/>
          </w:tcPr>
          <w:p w14:paraId="6976C2EE">
            <w:pPr>
              <w:jc w:val="right"/>
              <w:rPr>
                <w:rFonts w:cstheme="minorHAnsi"/>
                <w:b/>
                <w:bCs/>
                <w:sz w:val="20"/>
                <w:szCs w:val="20"/>
                <w:lang w:val="en-GB"/>
              </w:rPr>
            </w:pPr>
            <w:r>
              <w:rPr>
                <w:rFonts w:cstheme="minorHAnsi"/>
                <w:b/>
                <w:bCs/>
                <w:sz w:val="20"/>
                <w:szCs w:val="20"/>
                <w:lang w:val="en-GB"/>
              </w:rPr>
              <w:t>150,000</w:t>
            </w:r>
          </w:p>
        </w:tc>
        <w:tc>
          <w:tcPr>
            <w:tcW w:w="782" w:type="dxa"/>
          </w:tcPr>
          <w:p w14:paraId="0C211F92">
            <w:pPr>
              <w:rPr>
                <w:rFonts w:cstheme="minorHAnsi"/>
                <w:b/>
                <w:bCs/>
                <w:sz w:val="20"/>
                <w:szCs w:val="20"/>
                <w:highlight w:val="yellow"/>
                <w:lang w:val="en-GB"/>
              </w:rPr>
            </w:pPr>
          </w:p>
        </w:tc>
      </w:tr>
    </w:tbl>
    <w:p w14:paraId="360DB7C9">
      <w:pPr>
        <w:rPr>
          <w:rFonts w:cstheme="minorHAnsi"/>
          <w:sz w:val="20"/>
          <w:szCs w:val="20"/>
          <w:lang w:val="en-GB" w:eastAsia="ja-JP"/>
        </w:rPr>
      </w:pPr>
    </w:p>
    <w:p w14:paraId="47507535">
      <w:pPr>
        <w:rPr>
          <w:rFonts w:cstheme="minorHAnsi"/>
          <w:sz w:val="20"/>
          <w:szCs w:val="20"/>
          <w:lang w:val="en-GB" w:eastAsia="ja-JP"/>
        </w:rPr>
      </w:pPr>
    </w:p>
    <w:p w14:paraId="37A062A4">
      <w:pPr>
        <w:rPr>
          <w:rFonts w:cstheme="minorHAnsi"/>
          <w:sz w:val="20"/>
          <w:szCs w:val="20"/>
          <w:lang w:val="en-GB" w:eastAsia="ja-JP"/>
        </w:rPr>
      </w:pPr>
    </w:p>
    <w:p w14:paraId="1EF502A0">
      <w:pPr>
        <w:rPr>
          <w:rFonts w:cstheme="minorHAnsi"/>
          <w:sz w:val="20"/>
          <w:szCs w:val="20"/>
          <w:lang w:val="en-GB" w:eastAsia="ja-JP"/>
        </w:rPr>
      </w:pPr>
    </w:p>
    <w:tbl>
      <w:tblPr>
        <w:tblStyle w:val="25"/>
        <w:tblW w:w="95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8656"/>
      </w:tblGrid>
      <w:tr w14:paraId="15EE52D9">
        <w:trPr>
          <w:trHeight w:val="967" w:hRule="atLeast"/>
        </w:trPr>
        <w:tc>
          <w:tcPr>
            <w:tcW w:w="805" w:type="dxa"/>
            <w:shd w:val="clear" w:color="auto" w:fill="ECECEC" w:themeFill="accent3" w:themeFillTint="33"/>
          </w:tcPr>
          <w:p w14:paraId="38726DD2">
            <w:pPr>
              <w:rPr>
                <w:rFonts w:cstheme="minorHAnsi"/>
                <w:b/>
                <w:sz w:val="20"/>
                <w:szCs w:val="20"/>
              </w:rPr>
            </w:pPr>
            <w:r>
              <w:rPr>
                <w:rFonts w:cstheme="minorHAnsi"/>
                <w:b/>
                <w:sz w:val="20"/>
                <w:szCs w:val="20"/>
              </w:rPr>
              <w:t>Budget Note No.</w:t>
            </w:r>
          </w:p>
        </w:tc>
        <w:tc>
          <w:tcPr>
            <w:tcW w:w="8756" w:type="dxa"/>
            <w:shd w:val="clear" w:color="auto" w:fill="ECECEC" w:themeFill="accent3" w:themeFillTint="33"/>
          </w:tcPr>
          <w:p w14:paraId="0F6F8BEB">
            <w:pPr>
              <w:rPr>
                <w:rFonts w:cstheme="minorHAnsi"/>
                <w:b/>
                <w:sz w:val="20"/>
                <w:szCs w:val="20"/>
              </w:rPr>
            </w:pPr>
            <w:r>
              <w:rPr>
                <w:rFonts w:cstheme="minorHAnsi"/>
                <w:b/>
                <w:sz w:val="20"/>
                <w:szCs w:val="20"/>
              </w:rPr>
              <w:t>Budget Note</w:t>
            </w:r>
          </w:p>
          <w:p w14:paraId="18EBE5E3">
            <w:pPr>
              <w:rPr>
                <w:rFonts w:cstheme="minorHAnsi"/>
                <w:b/>
                <w:i/>
                <w:iCs/>
                <w:sz w:val="20"/>
                <w:szCs w:val="20"/>
              </w:rPr>
            </w:pPr>
            <w:r>
              <w:rPr>
                <w:rFonts w:eastAsia="宋体" w:cstheme="minorHAnsi"/>
                <w:i/>
                <w:iCs/>
                <w:sz w:val="18"/>
                <w:szCs w:val="18"/>
              </w:rPr>
              <w:t>Budget note should detail the use of the use of the budget. For example, outputs/deliverables of the consultants must be clear.  Include cost breakdown and calculation basis (e.g., daily fee and number of days/weeks, unit cost and quantity)</w:t>
            </w:r>
          </w:p>
        </w:tc>
      </w:tr>
      <w:tr w14:paraId="31D0CFD5">
        <w:trPr>
          <w:trHeight w:val="322" w:hRule="atLeast"/>
        </w:trPr>
        <w:tc>
          <w:tcPr>
            <w:tcW w:w="805" w:type="dxa"/>
          </w:tcPr>
          <w:p w14:paraId="72ED176F">
            <w:pPr>
              <w:rPr>
                <w:rFonts w:cstheme="minorHAnsi"/>
                <w:sz w:val="20"/>
                <w:szCs w:val="20"/>
                <w:lang w:val="en-GB" w:eastAsia="ja-JP"/>
              </w:rPr>
            </w:pPr>
            <w:r>
              <w:rPr>
                <w:rFonts w:cstheme="minorHAnsi"/>
                <w:sz w:val="20"/>
                <w:szCs w:val="20"/>
                <w:lang w:val="en-GB" w:eastAsia="ja-JP"/>
              </w:rPr>
              <w:t>1</w:t>
            </w:r>
          </w:p>
        </w:tc>
        <w:tc>
          <w:tcPr>
            <w:tcW w:w="8756" w:type="dxa"/>
          </w:tcPr>
          <w:p w14:paraId="6F9FFC2C">
            <w:pPr>
              <w:rPr>
                <w:rFonts w:eastAsia="Times New Roman" w:cstheme="minorHAnsi"/>
                <w:color w:val="000000"/>
                <w:sz w:val="20"/>
                <w:szCs w:val="20"/>
                <w:lang w:val="en-GB" w:eastAsia="ja-JP"/>
              </w:rPr>
            </w:pPr>
            <w:r>
              <w:rPr>
                <w:rFonts w:eastAsia="Times New Roman" w:cstheme="minorHAnsi"/>
                <w:color w:val="000000" w:themeColor="text1"/>
                <w:sz w:val="20"/>
                <w:szCs w:val="20"/>
                <w:lang w:val="en-GB" w:eastAsia="ja-JP"/>
                <w14:textFill>
                  <w14:solidFill>
                    <w14:schemeClr w14:val="tx1"/>
                  </w14:solidFill>
                </w14:textFill>
              </w:rPr>
              <w:t>International GEF Project Development Specialist (GEF PPG Team Leader) </w:t>
            </w:r>
          </w:p>
          <w:p w14:paraId="79120337">
            <w:pPr>
              <w:pStyle w:val="56"/>
              <w:numPr>
                <w:ilvl w:val="0"/>
                <w:numId w:val="15"/>
              </w:numPr>
              <w:rPr>
                <w:rFonts w:cstheme="minorHAnsi"/>
                <w:sz w:val="20"/>
                <w:szCs w:val="20"/>
                <w:lang w:val="en-GB" w:eastAsia="ja-JP"/>
              </w:rPr>
            </w:pPr>
            <w:r>
              <w:rPr>
                <w:rFonts w:cstheme="minorHAnsi"/>
                <w:sz w:val="20"/>
                <w:szCs w:val="20"/>
                <w:lang w:val="en-GB" w:eastAsia="ja-JP"/>
              </w:rPr>
              <w:t xml:space="preserve">$650 for 60 days. </w:t>
            </w:r>
            <w:r>
              <w:rPr>
                <w:rFonts w:eastAsia="Times New Roman" w:cstheme="minorHAnsi"/>
                <w:color w:val="000000" w:themeColor="text1"/>
                <w:sz w:val="20"/>
                <w:szCs w:val="20"/>
                <w:lang w:val="en-GB" w:eastAsia="ja-JP"/>
                <w14:textFill>
                  <w14:solidFill>
                    <w14:schemeClr w14:val="tx1"/>
                  </w14:solidFill>
                </w14:textFill>
              </w:rPr>
              <w:t>Scope of work and deliverables are stipulated in the Terms of Reference.</w:t>
            </w:r>
          </w:p>
          <w:p w14:paraId="324BD77F">
            <w:pPr>
              <w:pStyle w:val="56"/>
              <w:numPr>
                <w:ilvl w:val="0"/>
                <w:numId w:val="15"/>
              </w:numPr>
              <w:rPr>
                <w:rFonts w:cstheme="minorHAnsi"/>
                <w:sz w:val="20"/>
                <w:szCs w:val="20"/>
                <w:lang w:val="en-GB" w:eastAsia="ja-JP"/>
              </w:rPr>
            </w:pPr>
            <w:r>
              <w:rPr>
                <w:rFonts w:cstheme="minorHAnsi"/>
                <w:sz w:val="20"/>
                <w:szCs w:val="20"/>
                <w:lang w:val="en-GB" w:eastAsia="ja-JP"/>
              </w:rPr>
              <w:t>Total budget $39,000</w:t>
            </w:r>
          </w:p>
          <w:p w14:paraId="4EDC42E0">
            <w:pPr>
              <w:rPr>
                <w:rFonts w:eastAsia="Times New Roman" w:cstheme="minorHAnsi"/>
                <w:color w:val="000000" w:themeColor="text1"/>
                <w:sz w:val="20"/>
                <w:szCs w:val="20"/>
                <w:lang w:val="en-GB" w:eastAsia="ja-JP"/>
                <w14:textFill>
                  <w14:solidFill>
                    <w14:schemeClr w14:val="tx1"/>
                  </w14:solidFill>
                </w14:textFill>
              </w:rPr>
            </w:pPr>
            <w:r>
              <w:rPr>
                <w:rFonts w:cstheme="minorHAnsi"/>
                <w:color w:val="000000" w:themeColor="text1"/>
                <w:sz w:val="20"/>
                <w:szCs w:val="20"/>
                <w:lang w:val="en-GB" w:eastAsia="ja-JP"/>
                <w14:textFill>
                  <w14:solidFill>
                    <w14:schemeClr w14:val="tx1"/>
                  </w14:solidFill>
                </w14:textFill>
              </w:rPr>
              <w:t>International Safeguards Specialist</w:t>
            </w:r>
          </w:p>
          <w:p w14:paraId="53E11BD8">
            <w:pPr>
              <w:pStyle w:val="56"/>
              <w:numPr>
                <w:ilvl w:val="0"/>
                <w:numId w:val="15"/>
              </w:numPr>
              <w:rPr>
                <w:rFonts w:eastAsia="Times New Roman" w:cstheme="minorHAnsi"/>
                <w:color w:val="000000" w:themeColor="text1"/>
                <w:sz w:val="20"/>
                <w:szCs w:val="20"/>
                <w:lang w:val="en-GB" w:eastAsia="ja-JP"/>
                <w14:textFill>
                  <w14:solidFill>
                    <w14:schemeClr w14:val="tx1"/>
                  </w14:solidFill>
                </w14:textFill>
              </w:rPr>
            </w:pPr>
            <w:r>
              <w:rPr>
                <w:rFonts w:cstheme="minorHAnsi"/>
                <w:color w:val="000000" w:themeColor="text1"/>
                <w:sz w:val="20"/>
                <w:szCs w:val="20"/>
                <w:lang w:val="en-GB" w:eastAsia="ja-JP"/>
                <w14:textFill>
                  <w14:solidFill>
                    <w14:schemeClr w14:val="tx1"/>
                  </w14:solidFill>
                </w14:textFill>
              </w:rPr>
              <w:t>$600 for 35 days. Scope of work and deliverables are stipulated in the Terms of Reference.</w:t>
            </w:r>
          </w:p>
          <w:p w14:paraId="0CA8FDE8">
            <w:pPr>
              <w:pStyle w:val="56"/>
              <w:numPr>
                <w:ilvl w:val="0"/>
                <w:numId w:val="15"/>
              </w:numPr>
              <w:rPr>
                <w:rFonts w:eastAsia="Times New Roman" w:cstheme="minorHAnsi"/>
                <w:color w:val="000000"/>
                <w:sz w:val="20"/>
                <w:szCs w:val="20"/>
                <w:lang w:val="en-GB" w:eastAsia="ja-JP"/>
              </w:rPr>
            </w:pPr>
            <w:r>
              <w:rPr>
                <w:rFonts w:cstheme="minorHAnsi"/>
                <w:color w:val="000000" w:themeColor="text1"/>
                <w:sz w:val="20"/>
                <w:szCs w:val="20"/>
                <w:lang w:val="en-GB" w:eastAsia="ja-JP"/>
                <w14:textFill>
                  <w14:solidFill>
                    <w14:schemeClr w14:val="tx1"/>
                  </w14:solidFill>
                </w14:textFill>
              </w:rPr>
              <w:t>Total budget $21,000</w:t>
            </w:r>
          </w:p>
        </w:tc>
      </w:tr>
      <w:tr w14:paraId="073E2C61">
        <w:trPr>
          <w:trHeight w:val="322" w:hRule="atLeast"/>
        </w:trPr>
        <w:tc>
          <w:tcPr>
            <w:tcW w:w="805" w:type="dxa"/>
          </w:tcPr>
          <w:p w14:paraId="32C1FD77">
            <w:pPr>
              <w:rPr>
                <w:rFonts w:cstheme="minorHAnsi"/>
                <w:sz w:val="20"/>
                <w:szCs w:val="20"/>
                <w:lang w:val="en-GB" w:eastAsia="ja-JP"/>
              </w:rPr>
            </w:pPr>
            <w:r>
              <w:rPr>
                <w:rFonts w:cstheme="minorHAnsi"/>
                <w:sz w:val="20"/>
                <w:szCs w:val="20"/>
                <w:lang w:val="en-GB" w:eastAsia="ja-JP"/>
              </w:rPr>
              <w:t>2</w:t>
            </w:r>
          </w:p>
        </w:tc>
        <w:tc>
          <w:tcPr>
            <w:tcW w:w="8756" w:type="dxa"/>
          </w:tcPr>
          <w:p w14:paraId="0B02B8D8">
            <w:pPr>
              <w:rPr>
                <w:rFonts w:cstheme="minorHAnsi"/>
                <w:sz w:val="20"/>
                <w:szCs w:val="20"/>
                <w:lang w:val="en-GB" w:eastAsia="ja-JP"/>
              </w:rPr>
            </w:pPr>
            <w:r>
              <w:rPr>
                <w:rFonts w:cstheme="minorHAnsi"/>
                <w:sz w:val="20"/>
                <w:szCs w:val="20"/>
                <w:lang w:val="en-GB" w:eastAsia="ja-JP"/>
              </w:rPr>
              <w:t>National Natural Resources Management and Nature-based Solution Specialist (National Team Leader)</w:t>
            </w:r>
          </w:p>
          <w:p w14:paraId="642F9095">
            <w:pPr>
              <w:pStyle w:val="56"/>
              <w:numPr>
                <w:ilvl w:val="0"/>
                <w:numId w:val="15"/>
              </w:numPr>
              <w:rPr>
                <w:rFonts w:cstheme="minorHAnsi"/>
                <w:sz w:val="20"/>
                <w:szCs w:val="20"/>
                <w:lang w:val="en-GB" w:eastAsia="ja-JP"/>
              </w:rPr>
            </w:pPr>
            <w:r>
              <w:rPr>
                <w:rFonts w:cstheme="minorHAnsi"/>
                <w:sz w:val="20"/>
                <w:szCs w:val="20"/>
                <w:lang w:val="en-GB" w:eastAsia="ja-JP"/>
              </w:rPr>
              <w:t xml:space="preserve">$350 for 50 days. </w:t>
            </w:r>
            <w:r>
              <w:rPr>
                <w:rFonts w:eastAsia="Times New Roman" w:cstheme="minorHAnsi"/>
                <w:color w:val="000000" w:themeColor="text1"/>
                <w:sz w:val="20"/>
                <w:szCs w:val="20"/>
                <w:lang w:val="en-GB" w:eastAsia="ja-JP"/>
                <w14:textFill>
                  <w14:solidFill>
                    <w14:schemeClr w14:val="tx1"/>
                  </w14:solidFill>
                </w14:textFill>
              </w:rPr>
              <w:t>Scope of work and deliverables are stipulated in the Terms of Reference.</w:t>
            </w:r>
          </w:p>
          <w:p w14:paraId="0FCA8BFC">
            <w:pPr>
              <w:pStyle w:val="56"/>
              <w:numPr>
                <w:ilvl w:val="0"/>
                <w:numId w:val="15"/>
              </w:numPr>
              <w:rPr>
                <w:rFonts w:eastAsia="Times New Roman" w:cstheme="minorHAnsi"/>
                <w:color w:val="000000" w:themeColor="text1"/>
                <w:sz w:val="20"/>
                <w:szCs w:val="20"/>
                <w:lang w:val="en-GB" w:eastAsia="ja-JP"/>
                <w14:textFill>
                  <w14:solidFill>
                    <w14:schemeClr w14:val="tx1"/>
                  </w14:solidFill>
                </w14:textFill>
              </w:rPr>
            </w:pPr>
            <w:r>
              <w:rPr>
                <w:rFonts w:eastAsia="Times New Roman" w:cstheme="minorHAnsi"/>
                <w:color w:val="000000" w:themeColor="text1"/>
                <w:sz w:val="20"/>
                <w:szCs w:val="20"/>
                <w:lang w:val="en-GB" w:eastAsia="ja-JP"/>
                <w14:textFill>
                  <w14:solidFill>
                    <w14:schemeClr w14:val="tx1"/>
                  </w14:solidFill>
                </w14:textFill>
              </w:rPr>
              <w:t>Total budget $17,500</w:t>
            </w:r>
          </w:p>
          <w:p w14:paraId="45497BE4">
            <w:pPr>
              <w:rPr>
                <w:rFonts w:cstheme="minorHAnsi"/>
                <w:sz w:val="20"/>
                <w:szCs w:val="20"/>
                <w:lang w:val="en-GB" w:eastAsia="ja-JP"/>
              </w:rPr>
            </w:pPr>
            <w:r>
              <w:rPr>
                <w:rFonts w:cstheme="minorHAnsi"/>
                <w:sz w:val="20"/>
                <w:szCs w:val="20"/>
                <w:lang w:val="en-GB" w:eastAsia="ja-JP"/>
              </w:rPr>
              <w:t>National Gender and Stakeholder Engagement Specialist</w:t>
            </w:r>
          </w:p>
          <w:p w14:paraId="2F22BB29">
            <w:pPr>
              <w:pStyle w:val="56"/>
              <w:numPr>
                <w:ilvl w:val="0"/>
                <w:numId w:val="15"/>
              </w:numPr>
              <w:rPr>
                <w:rFonts w:cstheme="minorHAnsi"/>
                <w:sz w:val="20"/>
                <w:szCs w:val="20"/>
                <w:lang w:val="en-GB" w:eastAsia="ja-JP"/>
              </w:rPr>
            </w:pPr>
            <w:r>
              <w:rPr>
                <w:rFonts w:cstheme="minorHAnsi"/>
                <w:sz w:val="20"/>
                <w:szCs w:val="20"/>
                <w:lang w:val="en-GB" w:eastAsia="ja-JP"/>
              </w:rPr>
              <w:t xml:space="preserve">$300 for </w:t>
            </w:r>
            <w:r>
              <w:rPr>
                <w:rFonts w:eastAsia="宋体" w:cstheme="minorHAnsi"/>
                <w:sz w:val="20"/>
                <w:szCs w:val="20"/>
                <w:lang w:val="en-GB" w:eastAsia="zh-CN"/>
              </w:rPr>
              <w:t>20</w:t>
            </w:r>
            <w:r>
              <w:rPr>
                <w:rFonts w:cstheme="minorHAnsi"/>
                <w:sz w:val="20"/>
                <w:szCs w:val="20"/>
                <w:lang w:val="en-GB" w:eastAsia="ja-JP"/>
              </w:rPr>
              <w:t xml:space="preserve"> days. </w:t>
            </w:r>
            <w:r>
              <w:rPr>
                <w:rFonts w:eastAsia="Times New Roman" w:cstheme="minorHAnsi"/>
                <w:color w:val="000000" w:themeColor="text1"/>
                <w:sz w:val="20"/>
                <w:szCs w:val="20"/>
                <w:lang w:val="en-GB" w:eastAsia="ja-JP"/>
                <w14:textFill>
                  <w14:solidFill>
                    <w14:schemeClr w14:val="tx1"/>
                  </w14:solidFill>
                </w14:textFill>
              </w:rPr>
              <w:t>Scope of work and deliverables are stipulated in the Terms of Reference.</w:t>
            </w:r>
          </w:p>
          <w:p w14:paraId="1D97028C">
            <w:pPr>
              <w:pStyle w:val="56"/>
              <w:numPr>
                <w:ilvl w:val="0"/>
                <w:numId w:val="15"/>
              </w:numPr>
              <w:rPr>
                <w:rFonts w:eastAsia="Times New Roman" w:cstheme="minorHAnsi"/>
                <w:color w:val="000000"/>
                <w:sz w:val="20"/>
                <w:szCs w:val="20"/>
                <w:lang w:val="en-GB" w:eastAsia="ja-JP"/>
              </w:rPr>
            </w:pPr>
            <w:r>
              <w:rPr>
                <w:rFonts w:eastAsia="Times New Roman" w:cstheme="minorHAnsi"/>
                <w:color w:val="000000" w:themeColor="text1"/>
                <w:sz w:val="20"/>
                <w:szCs w:val="20"/>
                <w:lang w:val="en-GB" w:eastAsia="ja-JP"/>
                <w14:textFill>
                  <w14:solidFill>
                    <w14:schemeClr w14:val="tx1"/>
                  </w14:solidFill>
                </w14:textFill>
              </w:rPr>
              <w:t xml:space="preserve">Total budget </w:t>
            </w:r>
            <w:r>
              <w:rPr>
                <w:rFonts w:cstheme="minorHAnsi"/>
                <w:sz w:val="20"/>
                <w:szCs w:val="20"/>
                <w:lang w:val="en-GB" w:eastAsia="ja-JP"/>
              </w:rPr>
              <w:t>$6,000</w:t>
            </w:r>
          </w:p>
          <w:p w14:paraId="07E579DC">
            <w:pPr>
              <w:rPr>
                <w:rFonts w:cstheme="minorHAnsi"/>
                <w:sz w:val="20"/>
                <w:szCs w:val="20"/>
                <w:lang w:val="en-GB" w:eastAsia="ja-JP"/>
              </w:rPr>
            </w:pPr>
            <w:r>
              <w:rPr>
                <w:rFonts w:cstheme="minorHAnsi"/>
                <w:sz w:val="20"/>
                <w:szCs w:val="20"/>
                <w:lang w:val="en-GB" w:eastAsia="ja-JP"/>
              </w:rPr>
              <w:t>National Spatial Planning Specialist</w:t>
            </w:r>
          </w:p>
          <w:p w14:paraId="457E5ACD">
            <w:pPr>
              <w:pStyle w:val="56"/>
              <w:numPr>
                <w:ilvl w:val="0"/>
                <w:numId w:val="15"/>
              </w:numPr>
              <w:rPr>
                <w:rFonts w:cstheme="minorHAnsi"/>
                <w:sz w:val="20"/>
                <w:szCs w:val="20"/>
                <w:lang w:val="en-GB" w:eastAsia="ja-JP"/>
              </w:rPr>
            </w:pPr>
            <w:r>
              <w:rPr>
                <w:rFonts w:cstheme="minorHAnsi"/>
                <w:sz w:val="20"/>
                <w:szCs w:val="20"/>
                <w:lang w:val="en-GB" w:eastAsia="ja-JP"/>
              </w:rPr>
              <w:t xml:space="preserve">$350 for 30 days. </w:t>
            </w:r>
            <w:r>
              <w:rPr>
                <w:rFonts w:eastAsia="Times New Roman" w:cstheme="minorHAnsi"/>
                <w:color w:val="000000" w:themeColor="text1"/>
                <w:sz w:val="20"/>
                <w:szCs w:val="20"/>
                <w:lang w:val="en-GB" w:eastAsia="ja-JP"/>
                <w14:textFill>
                  <w14:solidFill>
                    <w14:schemeClr w14:val="tx1"/>
                  </w14:solidFill>
                </w14:textFill>
              </w:rPr>
              <w:t>Scope of work and deliverables are stipulated in the Terms of Reference.</w:t>
            </w:r>
          </w:p>
          <w:p w14:paraId="572584F6">
            <w:pPr>
              <w:pStyle w:val="56"/>
              <w:numPr>
                <w:ilvl w:val="0"/>
                <w:numId w:val="15"/>
              </w:numPr>
              <w:rPr>
                <w:rFonts w:cstheme="minorHAnsi"/>
                <w:sz w:val="20"/>
                <w:szCs w:val="20"/>
                <w:lang w:val="en-GB" w:eastAsia="ja-JP"/>
              </w:rPr>
            </w:pPr>
            <w:r>
              <w:rPr>
                <w:rFonts w:eastAsia="Times New Roman" w:cstheme="minorHAnsi"/>
                <w:color w:val="000000" w:themeColor="text1"/>
                <w:sz w:val="20"/>
                <w:szCs w:val="20"/>
                <w:lang w:val="en-GB" w:eastAsia="ja-JP"/>
                <w14:textFill>
                  <w14:solidFill>
                    <w14:schemeClr w14:val="tx1"/>
                  </w14:solidFill>
                </w14:textFill>
              </w:rPr>
              <w:t xml:space="preserve">Total budget </w:t>
            </w:r>
            <w:r>
              <w:rPr>
                <w:rFonts w:cstheme="minorHAnsi"/>
                <w:sz w:val="20"/>
                <w:szCs w:val="20"/>
                <w:lang w:val="en-GB" w:eastAsia="ja-JP"/>
              </w:rPr>
              <w:t>$10,500</w:t>
            </w:r>
          </w:p>
        </w:tc>
      </w:tr>
      <w:tr w14:paraId="6B9BD711">
        <w:trPr>
          <w:trHeight w:val="300" w:hRule="atLeast"/>
        </w:trPr>
        <w:tc>
          <w:tcPr>
            <w:tcW w:w="808" w:type="dxa"/>
          </w:tcPr>
          <w:p w14:paraId="33E3F640">
            <w:pPr>
              <w:rPr>
                <w:rFonts w:cstheme="minorHAnsi"/>
                <w:sz w:val="20"/>
                <w:szCs w:val="20"/>
                <w:lang w:val="en-GB" w:eastAsia="ja-JP"/>
              </w:rPr>
            </w:pPr>
            <w:r>
              <w:rPr>
                <w:rFonts w:cstheme="minorHAnsi"/>
                <w:sz w:val="20"/>
                <w:szCs w:val="20"/>
                <w:lang w:val="en-GB" w:eastAsia="ja-JP"/>
              </w:rPr>
              <w:t>3</w:t>
            </w:r>
          </w:p>
        </w:tc>
        <w:tc>
          <w:tcPr>
            <w:tcW w:w="8753" w:type="dxa"/>
          </w:tcPr>
          <w:p w14:paraId="653AAF62">
            <w:pPr>
              <w:rPr>
                <w:rFonts w:cstheme="minorHAnsi"/>
                <w:sz w:val="20"/>
                <w:szCs w:val="20"/>
                <w:lang w:val="en-GB" w:eastAsia="ja-JP"/>
              </w:rPr>
            </w:pPr>
            <w:r>
              <w:rPr>
                <w:rFonts w:cstheme="minorHAnsi"/>
                <w:sz w:val="20"/>
                <w:szCs w:val="20"/>
                <w:lang w:val="en-GB" w:eastAsia="ja-JP"/>
              </w:rPr>
              <w:t>National Coordinator (CO NPSA 4)</w:t>
            </w:r>
          </w:p>
          <w:p w14:paraId="48F99C54">
            <w:pPr>
              <w:pStyle w:val="56"/>
              <w:numPr>
                <w:ilvl w:val="0"/>
                <w:numId w:val="15"/>
              </w:numPr>
              <w:rPr>
                <w:rFonts w:cstheme="minorHAnsi"/>
                <w:sz w:val="20"/>
                <w:szCs w:val="20"/>
                <w:lang w:val="en-GB" w:eastAsia="ja-JP"/>
              </w:rPr>
            </w:pPr>
            <w:r>
              <w:rPr>
                <w:rFonts w:cstheme="minorHAnsi"/>
                <w:sz w:val="20"/>
                <w:szCs w:val="20"/>
                <w:lang w:val="en-GB" w:eastAsia="ja-JP"/>
              </w:rPr>
              <w:t xml:space="preserve">$260 for 85 days. </w:t>
            </w:r>
            <w:r>
              <w:rPr>
                <w:rFonts w:eastAsia="Times New Roman" w:cstheme="minorHAnsi"/>
                <w:color w:val="000000" w:themeColor="text1"/>
                <w:sz w:val="20"/>
                <w:szCs w:val="20"/>
                <w:lang w:val="en-GB" w:eastAsia="ja-JP"/>
                <w14:textFill>
                  <w14:solidFill>
                    <w14:schemeClr w14:val="tx1"/>
                  </w14:solidFill>
                </w14:textFill>
              </w:rPr>
              <w:t>Scope of work and deliverables are stipulated in the Terms of Reference.</w:t>
            </w:r>
          </w:p>
          <w:p w14:paraId="46AD6671">
            <w:pPr>
              <w:pStyle w:val="56"/>
              <w:numPr>
                <w:ilvl w:val="0"/>
                <w:numId w:val="15"/>
              </w:numPr>
              <w:rPr>
                <w:rFonts w:cstheme="minorHAnsi"/>
                <w:sz w:val="20"/>
                <w:szCs w:val="20"/>
                <w:lang w:val="en-GB" w:eastAsia="ja-JP"/>
              </w:rPr>
            </w:pPr>
            <w:r>
              <w:rPr>
                <w:rFonts w:eastAsia="Times New Roman" w:cstheme="minorHAnsi"/>
                <w:color w:val="000000" w:themeColor="text1"/>
                <w:sz w:val="20"/>
                <w:szCs w:val="20"/>
                <w:lang w:val="en-GB" w:eastAsia="ja-JP"/>
                <w14:textFill>
                  <w14:solidFill>
                    <w14:schemeClr w14:val="tx1"/>
                  </w14:solidFill>
                </w14:textFill>
              </w:rPr>
              <w:t xml:space="preserve">Total budget </w:t>
            </w:r>
            <w:r>
              <w:rPr>
                <w:rFonts w:cstheme="minorHAnsi"/>
                <w:sz w:val="20"/>
                <w:szCs w:val="20"/>
                <w:lang w:val="en-GB" w:eastAsia="ja-JP"/>
              </w:rPr>
              <w:t>$22,100</w:t>
            </w:r>
          </w:p>
        </w:tc>
      </w:tr>
      <w:tr w14:paraId="65532802">
        <w:trPr>
          <w:trHeight w:val="322" w:hRule="atLeast"/>
        </w:trPr>
        <w:tc>
          <w:tcPr>
            <w:tcW w:w="805" w:type="dxa"/>
          </w:tcPr>
          <w:p w14:paraId="77393065">
            <w:pPr>
              <w:rPr>
                <w:rFonts w:cstheme="minorHAnsi"/>
                <w:sz w:val="20"/>
                <w:szCs w:val="20"/>
                <w:lang w:val="en-GB" w:eastAsia="ja-JP"/>
              </w:rPr>
            </w:pPr>
            <w:r>
              <w:rPr>
                <w:rFonts w:cstheme="minorHAnsi"/>
                <w:sz w:val="20"/>
                <w:szCs w:val="20"/>
                <w:lang w:val="en-GB" w:eastAsia="ja-JP"/>
              </w:rPr>
              <w:t>4</w:t>
            </w:r>
          </w:p>
        </w:tc>
        <w:tc>
          <w:tcPr>
            <w:tcW w:w="8756" w:type="dxa"/>
          </w:tcPr>
          <w:p w14:paraId="7468B87D">
            <w:pPr>
              <w:rPr>
                <w:rFonts w:cstheme="minorHAnsi"/>
                <w:sz w:val="20"/>
                <w:szCs w:val="20"/>
                <w:lang w:val="en-GB" w:eastAsia="ja-JP"/>
              </w:rPr>
            </w:pPr>
            <w:r>
              <w:rPr>
                <w:rFonts w:cstheme="minorHAnsi"/>
                <w:sz w:val="20"/>
                <w:szCs w:val="20"/>
                <w:lang w:val="en-GB" w:eastAsia="ja-JP"/>
              </w:rPr>
              <w:t>Travel cost for the following consultants and missions:</w:t>
            </w:r>
          </w:p>
          <w:p w14:paraId="7BDE285A">
            <w:pPr>
              <w:pStyle w:val="56"/>
              <w:numPr>
                <w:ilvl w:val="0"/>
                <w:numId w:val="15"/>
              </w:numPr>
              <w:rPr>
                <w:rFonts w:cstheme="minorHAnsi"/>
                <w:sz w:val="20"/>
                <w:szCs w:val="20"/>
                <w:lang w:val="en-GB" w:eastAsia="ja-JP"/>
              </w:rPr>
            </w:pPr>
            <w:r>
              <w:rPr>
                <w:rFonts w:cstheme="minorHAnsi"/>
                <w:sz w:val="20"/>
                <w:szCs w:val="20"/>
                <w:lang w:val="en-GB" w:eastAsia="ja-JP"/>
              </w:rPr>
              <w:t>International Team Lead and Safeguards Specialist (for the inception workshop, field visits and validation workshop), in total 2 missions for $10,000;</w:t>
            </w:r>
          </w:p>
          <w:p w14:paraId="68028481">
            <w:pPr>
              <w:pStyle w:val="56"/>
              <w:numPr>
                <w:ilvl w:val="0"/>
                <w:numId w:val="15"/>
              </w:numPr>
              <w:rPr>
                <w:rFonts w:cstheme="minorHAnsi"/>
                <w:sz w:val="20"/>
                <w:szCs w:val="20"/>
                <w:lang w:val="en-GB" w:eastAsia="ja-JP"/>
              </w:rPr>
            </w:pPr>
            <w:r>
              <w:rPr>
                <w:rFonts w:eastAsia="Times New Roman" w:cstheme="minorHAnsi"/>
                <w:color w:val="000000" w:themeColor="text1"/>
                <w:sz w:val="20"/>
                <w:szCs w:val="20"/>
                <w:lang w:val="en-GB" w:eastAsia="ja-JP"/>
                <w14:textFill>
                  <w14:solidFill>
                    <w14:schemeClr w14:val="tx1"/>
                  </w14:solidFill>
                </w14:textFill>
              </w:rPr>
              <w:t>National Team Lead, Gender Specialist and Spatial Planning Specialist</w:t>
            </w:r>
            <w:r>
              <w:rPr>
                <w:rFonts w:cstheme="minorHAnsi"/>
                <w:sz w:val="20"/>
                <w:szCs w:val="20"/>
                <w:lang w:val="en-GB" w:eastAsia="ja-JP"/>
              </w:rPr>
              <w:t>, 1 mission respectively for $14,900.</w:t>
            </w:r>
          </w:p>
        </w:tc>
      </w:tr>
      <w:tr w14:paraId="1F71F510">
        <w:trPr>
          <w:trHeight w:val="322" w:hRule="atLeast"/>
        </w:trPr>
        <w:tc>
          <w:tcPr>
            <w:tcW w:w="805" w:type="dxa"/>
          </w:tcPr>
          <w:p w14:paraId="4232C857">
            <w:pPr>
              <w:rPr>
                <w:rFonts w:cstheme="minorHAnsi"/>
                <w:sz w:val="20"/>
                <w:szCs w:val="20"/>
                <w:lang w:val="en-GB" w:eastAsia="ja-JP"/>
              </w:rPr>
            </w:pPr>
            <w:r>
              <w:rPr>
                <w:rFonts w:cstheme="minorHAnsi"/>
                <w:sz w:val="20"/>
                <w:szCs w:val="20"/>
                <w:lang w:val="en-GB" w:eastAsia="ja-JP"/>
              </w:rPr>
              <w:t>5</w:t>
            </w:r>
          </w:p>
        </w:tc>
        <w:tc>
          <w:tcPr>
            <w:tcW w:w="8756" w:type="dxa"/>
          </w:tcPr>
          <w:p w14:paraId="313C95DC">
            <w:pPr>
              <w:rPr>
                <w:rFonts w:cstheme="minorHAnsi"/>
                <w:sz w:val="20"/>
                <w:szCs w:val="20"/>
                <w:lang w:val="en-GB" w:eastAsia="ja-JP"/>
              </w:rPr>
            </w:pPr>
            <w:r>
              <w:rPr>
                <w:rFonts w:cstheme="minorHAnsi"/>
                <w:sz w:val="20"/>
                <w:szCs w:val="20"/>
                <w:lang w:val="en-GB" w:eastAsia="ja-JP"/>
              </w:rPr>
              <w:t>Cost for stationery and printed materials required by the PPG team during assignment, and for workshops/consultations, in total $1000.</w:t>
            </w:r>
          </w:p>
        </w:tc>
      </w:tr>
      <w:tr w14:paraId="19670687">
        <w:trPr>
          <w:trHeight w:val="322" w:hRule="atLeast"/>
        </w:trPr>
        <w:tc>
          <w:tcPr>
            <w:tcW w:w="805" w:type="dxa"/>
          </w:tcPr>
          <w:p w14:paraId="71D31989">
            <w:pPr>
              <w:rPr>
                <w:rFonts w:cstheme="minorHAnsi"/>
                <w:sz w:val="20"/>
                <w:szCs w:val="20"/>
                <w:lang w:val="en-GB" w:eastAsia="ja-JP"/>
              </w:rPr>
            </w:pPr>
            <w:r>
              <w:rPr>
                <w:rFonts w:cstheme="minorHAnsi"/>
                <w:sz w:val="20"/>
                <w:szCs w:val="20"/>
                <w:lang w:val="en-GB" w:eastAsia="ja-JP"/>
              </w:rPr>
              <w:t>6</w:t>
            </w:r>
          </w:p>
        </w:tc>
        <w:tc>
          <w:tcPr>
            <w:tcW w:w="8756" w:type="dxa"/>
          </w:tcPr>
          <w:p w14:paraId="4A879BD9">
            <w:pPr>
              <w:rPr>
                <w:rFonts w:cstheme="minorHAnsi"/>
                <w:sz w:val="20"/>
                <w:szCs w:val="20"/>
                <w:lang w:val="en-GB" w:eastAsia="ja-JP"/>
              </w:rPr>
            </w:pPr>
            <w:r>
              <w:rPr>
                <w:rFonts w:cstheme="minorHAnsi"/>
                <w:sz w:val="20"/>
                <w:szCs w:val="20"/>
                <w:lang w:val="en-GB" w:eastAsia="ja-JP"/>
              </w:rPr>
              <w:t xml:space="preserve"> Cost for venue and catering to hold the PPG inception workshop, the validation workshop and other consultation meetings or trainings, in total $5000.</w:t>
            </w:r>
          </w:p>
        </w:tc>
      </w:tr>
      <w:tr w14:paraId="712FCEA0">
        <w:trPr>
          <w:trHeight w:val="300" w:hRule="atLeast"/>
        </w:trPr>
        <w:tc>
          <w:tcPr>
            <w:tcW w:w="808" w:type="dxa"/>
          </w:tcPr>
          <w:p w14:paraId="3672D784">
            <w:pPr>
              <w:rPr>
                <w:rFonts w:cstheme="minorHAnsi"/>
                <w:sz w:val="20"/>
                <w:szCs w:val="20"/>
                <w:lang w:val="en-GB" w:eastAsia="ja-JP"/>
              </w:rPr>
            </w:pPr>
            <w:r>
              <w:rPr>
                <w:rFonts w:cstheme="minorHAnsi"/>
                <w:sz w:val="20"/>
                <w:szCs w:val="20"/>
                <w:lang w:val="en-GB" w:eastAsia="ja-JP"/>
              </w:rPr>
              <w:t>7</w:t>
            </w:r>
          </w:p>
        </w:tc>
        <w:tc>
          <w:tcPr>
            <w:tcW w:w="8753" w:type="dxa"/>
          </w:tcPr>
          <w:p w14:paraId="03AA769B">
            <w:pPr>
              <w:rPr>
                <w:rFonts w:cstheme="minorHAnsi"/>
                <w:sz w:val="20"/>
                <w:szCs w:val="20"/>
                <w:lang w:val="en-GB" w:eastAsia="ja-JP"/>
              </w:rPr>
            </w:pPr>
            <w:r>
              <w:rPr>
                <w:rFonts w:cstheme="minorHAnsi"/>
                <w:sz w:val="20"/>
                <w:szCs w:val="20"/>
                <w:lang w:val="en-GB" w:eastAsia="ja-JP"/>
              </w:rPr>
              <w:t>Cost for HACT assessment, in total $3000.</w:t>
            </w:r>
          </w:p>
        </w:tc>
      </w:tr>
    </w:tbl>
    <w:p w14:paraId="0FA0950F">
      <w:pPr>
        <w:rPr>
          <w:rFonts w:cstheme="minorHAnsi"/>
        </w:rPr>
      </w:pPr>
    </w:p>
    <w:p w14:paraId="3E7FAAD0">
      <w:pPr>
        <w:rPr>
          <w:rFonts w:cstheme="minorHAnsi"/>
        </w:rPr>
      </w:pPr>
    </w:p>
    <w:p w14:paraId="5DB5F9FE">
      <w:pPr>
        <w:rPr>
          <w:rFonts w:cstheme="minorHAnsi"/>
          <w:sz w:val="20"/>
          <w:szCs w:val="20"/>
          <w:lang w:val="en-GB" w:eastAsia="ja-JP"/>
        </w:rPr>
      </w:pPr>
    </w:p>
    <w:p w14:paraId="29445C6B">
      <w:pPr>
        <w:rPr>
          <w:rFonts w:cstheme="minorHAnsi"/>
          <w:sz w:val="20"/>
          <w:szCs w:val="20"/>
          <w:lang w:val="en-GB" w:eastAsia="ja-JP"/>
        </w:rPr>
      </w:pPr>
    </w:p>
    <w:p w14:paraId="3E9A31DD">
      <w:pPr>
        <w:spacing w:after="160" w:line="259" w:lineRule="auto"/>
        <w:contextualSpacing w:val="0"/>
        <w:rPr>
          <w:rFonts w:cstheme="minorHAnsi"/>
          <w:sz w:val="20"/>
          <w:szCs w:val="20"/>
          <w:lang w:val="en-GB" w:eastAsia="ja-JP"/>
        </w:rPr>
      </w:pPr>
      <w:r>
        <w:rPr>
          <w:rFonts w:cstheme="minorHAnsi"/>
          <w:sz w:val="20"/>
          <w:szCs w:val="20"/>
          <w:lang w:val="en-GB" w:eastAsia="ja-JP"/>
        </w:rPr>
        <w:br w:type="page"/>
      </w:r>
    </w:p>
    <w:p w14:paraId="4B546B44">
      <w:pPr>
        <w:pStyle w:val="2"/>
        <w:numPr>
          <w:ilvl w:val="0"/>
          <w:numId w:val="4"/>
        </w:numPr>
        <w:rPr>
          <w:rFonts w:asciiTheme="minorHAnsi" w:hAnsiTheme="minorHAnsi" w:cstheme="minorHAnsi"/>
          <w:lang w:val="en-GB" w:eastAsia="ja-JP"/>
        </w:rPr>
      </w:pPr>
      <w:r>
        <w:rPr>
          <w:rFonts w:asciiTheme="minorHAnsi" w:hAnsiTheme="minorHAnsi" w:cstheme="minorHAnsi"/>
          <w:lang w:val="en-GB" w:eastAsia="ja-JP"/>
        </w:rPr>
        <w:t>GEF PPG Activities timeframe and budget</w:t>
      </w:r>
    </w:p>
    <w:p w14:paraId="47B523A1">
      <w:pPr>
        <w:rPr>
          <w:rFonts w:cstheme="minorHAnsi"/>
          <w:i/>
          <w:iCs/>
          <w:u w:val="single"/>
          <w:lang w:val="en-GB" w:eastAsia="ja-JP"/>
        </w:rPr>
      </w:pPr>
    </w:p>
    <w:tbl>
      <w:tblPr>
        <w:tblStyle w:val="24"/>
        <w:tblW w:w="12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979"/>
        <w:gridCol w:w="625"/>
        <w:gridCol w:w="578"/>
        <w:gridCol w:w="617"/>
        <w:gridCol w:w="629"/>
        <w:gridCol w:w="839"/>
        <w:gridCol w:w="575"/>
        <w:gridCol w:w="617"/>
        <w:gridCol w:w="817"/>
        <w:gridCol w:w="806"/>
        <w:gridCol w:w="780"/>
        <w:gridCol w:w="813"/>
        <w:gridCol w:w="818"/>
        <w:gridCol w:w="646"/>
      </w:tblGrid>
      <w:tr w14:paraId="3E0AD202">
        <w:trPr>
          <w:trHeight w:val="300" w:hRule="atLeast"/>
          <w:jc w:val="center"/>
        </w:trPr>
        <w:tc>
          <w:tcPr>
            <w:tcW w:w="3900" w:type="dxa"/>
            <w:shd w:val="clear" w:color="auto" w:fill="ECECEC" w:themeFill="accent3" w:themeFillTint="33"/>
            <w:vAlign w:val="center"/>
          </w:tcPr>
          <w:p w14:paraId="1D82F621">
            <w:pPr>
              <w:jc w:val="center"/>
              <w:rPr>
                <w:rFonts w:cstheme="minorHAnsi"/>
                <w:b/>
                <w:bCs/>
                <w:sz w:val="20"/>
                <w:szCs w:val="20"/>
                <w:lang w:val="en-GB"/>
              </w:rPr>
            </w:pPr>
            <w:r>
              <w:rPr>
                <w:rFonts w:cstheme="minorHAnsi"/>
                <w:b/>
                <w:bCs/>
                <w:sz w:val="20"/>
                <w:szCs w:val="20"/>
                <w:lang w:val="en-GB"/>
              </w:rPr>
              <w:t>PPG Activity</w:t>
            </w:r>
          </w:p>
        </w:tc>
        <w:tc>
          <w:tcPr>
            <w:tcW w:w="1020" w:type="dxa"/>
            <w:shd w:val="clear" w:color="auto" w:fill="ECECEC" w:themeFill="accent3" w:themeFillTint="33"/>
            <w:vAlign w:val="center"/>
          </w:tcPr>
          <w:p w14:paraId="57652182">
            <w:pPr>
              <w:jc w:val="center"/>
              <w:rPr>
                <w:rFonts w:cstheme="minorHAnsi"/>
                <w:b/>
                <w:bCs/>
                <w:sz w:val="20"/>
                <w:szCs w:val="20"/>
                <w:lang w:val="en-GB"/>
              </w:rPr>
            </w:pPr>
            <w:r>
              <w:rPr>
                <w:rFonts w:cstheme="minorHAnsi"/>
                <w:b/>
                <w:bCs/>
                <w:sz w:val="20"/>
                <w:szCs w:val="20"/>
                <w:lang w:val="en-GB"/>
              </w:rPr>
              <w:t>Budget</w:t>
            </w:r>
          </w:p>
          <w:p w14:paraId="45BC8A49">
            <w:pPr>
              <w:jc w:val="center"/>
              <w:rPr>
                <w:rFonts w:cstheme="minorHAnsi"/>
                <w:b/>
                <w:bCs/>
                <w:sz w:val="20"/>
                <w:szCs w:val="20"/>
                <w:lang w:val="en-GB"/>
              </w:rPr>
            </w:pPr>
            <w:r>
              <w:rPr>
                <w:rFonts w:cstheme="minorHAnsi"/>
                <w:b/>
                <w:bCs/>
                <w:sz w:val="20"/>
                <w:szCs w:val="20"/>
                <w:lang w:val="en-GB"/>
              </w:rPr>
              <w:t>$</w:t>
            </w:r>
          </w:p>
        </w:tc>
        <w:tc>
          <w:tcPr>
            <w:tcW w:w="690" w:type="dxa"/>
            <w:shd w:val="clear" w:color="auto" w:fill="ECECEC" w:themeFill="accent3" w:themeFillTint="33"/>
          </w:tcPr>
          <w:p w14:paraId="5CA12C26">
            <w:pPr>
              <w:jc w:val="center"/>
              <w:rPr>
                <w:rFonts w:cstheme="minorHAnsi"/>
                <w:b/>
                <w:bCs/>
                <w:sz w:val="20"/>
                <w:szCs w:val="20"/>
                <w:lang w:val="en-GB"/>
              </w:rPr>
            </w:pPr>
            <w:r>
              <w:rPr>
                <w:rFonts w:cstheme="minorHAnsi"/>
                <w:b/>
                <w:bCs/>
                <w:sz w:val="20"/>
                <w:szCs w:val="20"/>
                <w:lang w:val="en-GB"/>
              </w:rPr>
              <w:t>Jan</w:t>
            </w:r>
          </w:p>
          <w:p w14:paraId="492A00C2">
            <w:pPr>
              <w:jc w:val="center"/>
              <w:rPr>
                <w:rFonts w:cstheme="minorHAnsi"/>
                <w:b/>
                <w:bCs/>
                <w:sz w:val="20"/>
                <w:szCs w:val="20"/>
                <w:lang w:val="en-GB"/>
              </w:rPr>
            </w:pPr>
            <w:r>
              <w:rPr>
                <w:rFonts w:cstheme="minorHAnsi"/>
                <w:b/>
                <w:bCs/>
                <w:sz w:val="20"/>
                <w:szCs w:val="20"/>
                <w:lang w:val="en-GB"/>
              </w:rPr>
              <w:t>25</w:t>
            </w:r>
          </w:p>
        </w:tc>
        <w:tc>
          <w:tcPr>
            <w:tcW w:w="585" w:type="dxa"/>
            <w:shd w:val="clear" w:color="auto" w:fill="ECECEC" w:themeFill="accent3" w:themeFillTint="33"/>
          </w:tcPr>
          <w:p w14:paraId="46ADD03C">
            <w:pPr>
              <w:jc w:val="center"/>
              <w:rPr>
                <w:rFonts w:cstheme="minorHAnsi"/>
                <w:b/>
                <w:bCs/>
                <w:sz w:val="20"/>
                <w:szCs w:val="20"/>
                <w:lang w:val="en-GB"/>
              </w:rPr>
            </w:pPr>
            <w:r>
              <w:rPr>
                <w:rFonts w:cstheme="minorHAnsi"/>
                <w:b/>
                <w:bCs/>
                <w:sz w:val="20"/>
                <w:szCs w:val="20"/>
                <w:lang w:val="en-GB"/>
              </w:rPr>
              <w:t>Feb</w:t>
            </w:r>
          </w:p>
          <w:p w14:paraId="0DFD2A84">
            <w:pPr>
              <w:jc w:val="center"/>
              <w:rPr>
                <w:rFonts w:cstheme="minorHAnsi"/>
                <w:b/>
                <w:bCs/>
                <w:sz w:val="20"/>
                <w:szCs w:val="20"/>
                <w:lang w:val="en-GB"/>
              </w:rPr>
            </w:pPr>
            <w:r>
              <w:rPr>
                <w:rFonts w:cstheme="minorHAnsi"/>
                <w:b/>
                <w:bCs/>
                <w:sz w:val="20"/>
                <w:szCs w:val="20"/>
                <w:lang w:val="en-GB"/>
              </w:rPr>
              <w:t>25</w:t>
            </w:r>
          </w:p>
        </w:tc>
        <w:tc>
          <w:tcPr>
            <w:tcW w:w="645" w:type="dxa"/>
            <w:shd w:val="clear" w:color="auto" w:fill="ECECEC" w:themeFill="accent3" w:themeFillTint="33"/>
          </w:tcPr>
          <w:p w14:paraId="512FBA91">
            <w:pPr>
              <w:jc w:val="center"/>
              <w:rPr>
                <w:rFonts w:cstheme="minorHAnsi"/>
                <w:b/>
                <w:bCs/>
                <w:sz w:val="20"/>
                <w:szCs w:val="20"/>
                <w:lang w:val="en-GB"/>
              </w:rPr>
            </w:pPr>
            <w:r>
              <w:rPr>
                <w:rFonts w:cstheme="minorHAnsi"/>
                <w:b/>
                <w:bCs/>
                <w:sz w:val="20"/>
                <w:szCs w:val="20"/>
                <w:lang w:val="en-GB"/>
              </w:rPr>
              <w:t>Mar</w:t>
            </w:r>
          </w:p>
          <w:p w14:paraId="79164496">
            <w:pPr>
              <w:jc w:val="center"/>
              <w:rPr>
                <w:rFonts w:cstheme="minorHAnsi"/>
                <w:b/>
                <w:bCs/>
                <w:sz w:val="20"/>
                <w:szCs w:val="20"/>
                <w:lang w:val="en-GB"/>
              </w:rPr>
            </w:pPr>
            <w:r>
              <w:rPr>
                <w:rFonts w:cstheme="minorHAnsi"/>
                <w:b/>
                <w:bCs/>
                <w:sz w:val="20"/>
                <w:szCs w:val="20"/>
                <w:lang w:val="en-GB"/>
              </w:rPr>
              <w:t>25</w:t>
            </w:r>
          </w:p>
        </w:tc>
        <w:tc>
          <w:tcPr>
            <w:tcW w:w="705" w:type="dxa"/>
            <w:shd w:val="clear" w:color="auto" w:fill="ECECEC" w:themeFill="accent3" w:themeFillTint="33"/>
          </w:tcPr>
          <w:p w14:paraId="50A4DF03">
            <w:pPr>
              <w:jc w:val="center"/>
              <w:rPr>
                <w:rFonts w:cstheme="minorHAnsi"/>
                <w:b/>
                <w:bCs/>
                <w:sz w:val="20"/>
                <w:szCs w:val="20"/>
                <w:lang w:val="en-GB"/>
              </w:rPr>
            </w:pPr>
            <w:r>
              <w:rPr>
                <w:rFonts w:cstheme="minorHAnsi"/>
                <w:b/>
                <w:bCs/>
                <w:sz w:val="20"/>
                <w:szCs w:val="20"/>
                <w:lang w:val="en-GB"/>
              </w:rPr>
              <w:t>Apr</w:t>
            </w:r>
          </w:p>
          <w:p w14:paraId="118F519B">
            <w:pPr>
              <w:jc w:val="center"/>
              <w:rPr>
                <w:rFonts w:cstheme="minorHAnsi"/>
                <w:b/>
                <w:bCs/>
                <w:sz w:val="20"/>
                <w:szCs w:val="20"/>
                <w:lang w:val="en-GB"/>
              </w:rPr>
            </w:pPr>
            <w:r>
              <w:rPr>
                <w:rFonts w:cstheme="minorHAnsi"/>
                <w:b/>
                <w:bCs/>
                <w:sz w:val="20"/>
                <w:szCs w:val="20"/>
                <w:lang w:val="en-GB"/>
              </w:rPr>
              <w:t>25</w:t>
            </w:r>
          </w:p>
        </w:tc>
        <w:tc>
          <w:tcPr>
            <w:tcW w:w="645" w:type="dxa"/>
            <w:shd w:val="clear" w:color="auto" w:fill="ECECEC" w:themeFill="accent3" w:themeFillTint="33"/>
          </w:tcPr>
          <w:p w14:paraId="632E81AA">
            <w:pPr>
              <w:jc w:val="center"/>
              <w:rPr>
                <w:rFonts w:cstheme="minorHAnsi"/>
                <w:b/>
                <w:bCs/>
                <w:sz w:val="20"/>
                <w:szCs w:val="20"/>
                <w:lang w:val="en-GB"/>
              </w:rPr>
            </w:pPr>
            <w:r>
              <w:rPr>
                <w:rFonts w:cstheme="minorHAnsi"/>
                <w:b/>
                <w:bCs/>
                <w:sz w:val="20"/>
                <w:szCs w:val="20"/>
                <w:lang w:val="en-GB"/>
              </w:rPr>
              <w:t>May25</w:t>
            </w:r>
          </w:p>
        </w:tc>
        <w:tc>
          <w:tcPr>
            <w:tcW w:w="585" w:type="dxa"/>
            <w:shd w:val="clear" w:color="auto" w:fill="ECECEC" w:themeFill="accent3" w:themeFillTint="33"/>
          </w:tcPr>
          <w:p w14:paraId="01B3FEBE">
            <w:pPr>
              <w:jc w:val="center"/>
              <w:rPr>
                <w:rFonts w:cstheme="minorHAnsi"/>
                <w:b/>
                <w:bCs/>
                <w:sz w:val="20"/>
                <w:szCs w:val="20"/>
                <w:lang w:val="en-GB"/>
              </w:rPr>
            </w:pPr>
            <w:r>
              <w:rPr>
                <w:rFonts w:cstheme="minorHAnsi"/>
                <w:b/>
                <w:bCs/>
                <w:sz w:val="20"/>
                <w:szCs w:val="20"/>
                <w:lang w:val="en-GB"/>
              </w:rPr>
              <w:t>Jun</w:t>
            </w:r>
          </w:p>
          <w:p w14:paraId="50DF412B">
            <w:pPr>
              <w:jc w:val="center"/>
              <w:rPr>
                <w:rFonts w:cstheme="minorHAnsi"/>
                <w:b/>
                <w:bCs/>
                <w:sz w:val="20"/>
                <w:szCs w:val="20"/>
                <w:lang w:val="en-GB"/>
              </w:rPr>
            </w:pPr>
            <w:r>
              <w:rPr>
                <w:rFonts w:cstheme="minorHAnsi"/>
                <w:b/>
                <w:bCs/>
                <w:sz w:val="20"/>
                <w:szCs w:val="20"/>
                <w:lang w:val="en-GB"/>
              </w:rPr>
              <w:t>25</w:t>
            </w:r>
          </w:p>
        </w:tc>
        <w:tc>
          <w:tcPr>
            <w:tcW w:w="736" w:type="dxa"/>
            <w:shd w:val="clear" w:color="auto" w:fill="ECECEC" w:themeFill="accent3" w:themeFillTint="33"/>
          </w:tcPr>
          <w:p w14:paraId="5D662942">
            <w:pPr>
              <w:jc w:val="center"/>
              <w:rPr>
                <w:rFonts w:cstheme="minorHAnsi"/>
                <w:b/>
                <w:bCs/>
                <w:sz w:val="20"/>
                <w:szCs w:val="20"/>
                <w:lang w:val="en-GB"/>
              </w:rPr>
            </w:pPr>
            <w:r>
              <w:rPr>
                <w:rFonts w:cstheme="minorHAnsi"/>
                <w:b/>
                <w:bCs/>
                <w:sz w:val="20"/>
                <w:szCs w:val="20"/>
                <w:lang w:val="en-GB"/>
              </w:rPr>
              <w:t>Jul</w:t>
            </w:r>
          </w:p>
          <w:p w14:paraId="42B13A31">
            <w:pPr>
              <w:jc w:val="center"/>
              <w:rPr>
                <w:rFonts w:cstheme="minorHAnsi"/>
                <w:b/>
                <w:bCs/>
                <w:sz w:val="20"/>
                <w:szCs w:val="20"/>
                <w:lang w:val="en-GB"/>
              </w:rPr>
            </w:pPr>
            <w:r>
              <w:rPr>
                <w:rFonts w:cstheme="minorHAnsi"/>
                <w:b/>
                <w:bCs/>
                <w:sz w:val="20"/>
                <w:szCs w:val="20"/>
                <w:lang w:val="en-GB"/>
              </w:rPr>
              <w:t>25</w:t>
            </w:r>
          </w:p>
        </w:tc>
        <w:tc>
          <w:tcPr>
            <w:tcW w:w="569" w:type="dxa"/>
            <w:shd w:val="clear" w:color="auto" w:fill="ECECEC" w:themeFill="accent3" w:themeFillTint="33"/>
          </w:tcPr>
          <w:p w14:paraId="13A47618">
            <w:pPr>
              <w:jc w:val="center"/>
              <w:rPr>
                <w:rFonts w:cstheme="minorHAnsi"/>
                <w:b/>
                <w:bCs/>
                <w:sz w:val="20"/>
                <w:szCs w:val="20"/>
                <w:lang w:val="en-GB"/>
              </w:rPr>
            </w:pPr>
            <w:r>
              <w:rPr>
                <w:rFonts w:cstheme="minorHAnsi"/>
                <w:b/>
                <w:bCs/>
                <w:sz w:val="20"/>
                <w:szCs w:val="20"/>
                <w:lang w:val="en-GB"/>
              </w:rPr>
              <w:t>Aug25</w:t>
            </w:r>
          </w:p>
        </w:tc>
        <w:tc>
          <w:tcPr>
            <w:tcW w:w="553" w:type="dxa"/>
            <w:shd w:val="clear" w:color="auto" w:fill="ECECEC" w:themeFill="accent3" w:themeFillTint="33"/>
          </w:tcPr>
          <w:p w14:paraId="45D522B3">
            <w:pPr>
              <w:jc w:val="center"/>
              <w:rPr>
                <w:rFonts w:cstheme="minorHAnsi"/>
                <w:b/>
                <w:bCs/>
                <w:sz w:val="20"/>
                <w:szCs w:val="20"/>
                <w:lang w:val="en-GB"/>
              </w:rPr>
            </w:pPr>
            <w:r>
              <w:rPr>
                <w:rFonts w:cstheme="minorHAnsi"/>
                <w:b/>
                <w:bCs/>
                <w:sz w:val="20"/>
                <w:szCs w:val="20"/>
                <w:lang w:val="en-GB"/>
              </w:rPr>
              <w:t>Sep25</w:t>
            </w:r>
          </w:p>
        </w:tc>
        <w:tc>
          <w:tcPr>
            <w:tcW w:w="542" w:type="dxa"/>
            <w:shd w:val="clear" w:color="auto" w:fill="ECECEC" w:themeFill="accent3" w:themeFillTint="33"/>
          </w:tcPr>
          <w:p w14:paraId="28A023BE">
            <w:pPr>
              <w:jc w:val="center"/>
              <w:rPr>
                <w:rFonts w:cstheme="minorHAnsi"/>
                <w:b/>
                <w:bCs/>
                <w:sz w:val="20"/>
                <w:szCs w:val="20"/>
                <w:lang w:val="en-GB"/>
              </w:rPr>
            </w:pPr>
            <w:r>
              <w:rPr>
                <w:rFonts w:cstheme="minorHAnsi"/>
                <w:b/>
                <w:bCs/>
                <w:sz w:val="20"/>
                <w:szCs w:val="20"/>
                <w:lang w:val="en-GB"/>
              </w:rPr>
              <w:t>Oct25</w:t>
            </w:r>
          </w:p>
        </w:tc>
        <w:tc>
          <w:tcPr>
            <w:tcW w:w="577" w:type="dxa"/>
            <w:shd w:val="clear" w:color="auto" w:fill="ECECEC" w:themeFill="accent3" w:themeFillTint="33"/>
          </w:tcPr>
          <w:p w14:paraId="52EB2BCF">
            <w:pPr>
              <w:jc w:val="center"/>
              <w:rPr>
                <w:rFonts w:cstheme="minorHAnsi"/>
                <w:b/>
                <w:bCs/>
                <w:sz w:val="20"/>
                <w:szCs w:val="20"/>
                <w:lang w:val="en-GB"/>
              </w:rPr>
            </w:pPr>
            <w:r>
              <w:rPr>
                <w:rFonts w:cstheme="minorHAnsi"/>
                <w:b/>
                <w:bCs/>
                <w:sz w:val="20"/>
                <w:szCs w:val="20"/>
                <w:lang w:val="en-GB"/>
              </w:rPr>
              <w:t>Nov25</w:t>
            </w:r>
          </w:p>
        </w:tc>
        <w:tc>
          <w:tcPr>
            <w:tcW w:w="559" w:type="dxa"/>
            <w:shd w:val="clear" w:color="auto" w:fill="ECECEC" w:themeFill="accent3" w:themeFillTint="33"/>
          </w:tcPr>
          <w:p w14:paraId="17907EF0">
            <w:pPr>
              <w:jc w:val="center"/>
              <w:rPr>
                <w:rFonts w:cstheme="minorHAnsi"/>
                <w:b/>
                <w:bCs/>
                <w:sz w:val="20"/>
                <w:szCs w:val="20"/>
                <w:lang w:val="en-GB"/>
              </w:rPr>
            </w:pPr>
            <w:r>
              <w:rPr>
                <w:rFonts w:cstheme="minorHAnsi"/>
                <w:b/>
                <w:bCs/>
                <w:sz w:val="20"/>
                <w:szCs w:val="20"/>
                <w:lang w:val="en-GB"/>
              </w:rPr>
              <w:t>Dec25</w:t>
            </w:r>
          </w:p>
        </w:tc>
        <w:tc>
          <w:tcPr>
            <w:tcW w:w="649" w:type="dxa"/>
            <w:shd w:val="clear" w:color="auto" w:fill="ECECEC" w:themeFill="accent3" w:themeFillTint="33"/>
          </w:tcPr>
          <w:p w14:paraId="13C63011">
            <w:pPr>
              <w:jc w:val="center"/>
              <w:rPr>
                <w:rFonts w:cstheme="minorHAnsi"/>
                <w:b/>
                <w:bCs/>
                <w:sz w:val="20"/>
                <w:szCs w:val="20"/>
                <w:lang w:val="en-GB"/>
              </w:rPr>
            </w:pPr>
            <w:r>
              <w:rPr>
                <w:rFonts w:cstheme="minorHAnsi"/>
                <w:b/>
                <w:bCs/>
                <w:sz w:val="20"/>
                <w:szCs w:val="20"/>
                <w:lang w:val="en-GB"/>
              </w:rPr>
              <w:t>Jan-Jun</w:t>
            </w:r>
          </w:p>
          <w:p w14:paraId="7E4E9590">
            <w:pPr>
              <w:jc w:val="center"/>
              <w:rPr>
                <w:rFonts w:cstheme="minorHAnsi"/>
                <w:b/>
                <w:bCs/>
                <w:sz w:val="20"/>
                <w:szCs w:val="20"/>
                <w:lang w:val="en-GB"/>
              </w:rPr>
            </w:pPr>
            <w:r>
              <w:rPr>
                <w:rFonts w:cstheme="minorHAnsi"/>
                <w:b/>
                <w:bCs/>
                <w:sz w:val="20"/>
                <w:szCs w:val="20"/>
                <w:lang w:val="en-GB"/>
              </w:rPr>
              <w:t>26</w:t>
            </w:r>
          </w:p>
        </w:tc>
      </w:tr>
      <w:tr w14:paraId="5E416598">
        <w:trPr>
          <w:trHeight w:val="300" w:hRule="atLeast"/>
          <w:jc w:val="center"/>
        </w:trPr>
        <w:tc>
          <w:tcPr>
            <w:tcW w:w="3900" w:type="dxa"/>
            <w:shd w:val="clear" w:color="auto" w:fill="ECECEC" w:themeFill="accent3" w:themeFillTint="33"/>
          </w:tcPr>
          <w:p w14:paraId="19299D3C">
            <w:pPr>
              <w:rPr>
                <w:rFonts w:cstheme="minorHAnsi"/>
                <w:sz w:val="20"/>
                <w:szCs w:val="20"/>
                <w:lang w:val="fr-BE"/>
              </w:rPr>
            </w:pPr>
            <w:r>
              <w:rPr>
                <w:rFonts w:cstheme="minorHAnsi"/>
                <w:sz w:val="20"/>
                <w:szCs w:val="20"/>
                <w:lang w:val="fr-BE"/>
              </w:rPr>
              <w:t xml:space="preserve">Recruitement of PPG Team </w:t>
            </w:r>
          </w:p>
        </w:tc>
        <w:tc>
          <w:tcPr>
            <w:tcW w:w="1020" w:type="dxa"/>
            <w:shd w:val="clear" w:color="auto" w:fill="ECECEC" w:themeFill="accent3" w:themeFillTint="33"/>
            <w:vAlign w:val="center"/>
          </w:tcPr>
          <w:p w14:paraId="6DADFC4B">
            <w:pPr>
              <w:jc w:val="center"/>
              <w:rPr>
                <w:rFonts w:cstheme="minorHAnsi"/>
                <w:sz w:val="20"/>
                <w:szCs w:val="20"/>
                <w:lang w:val="fr-BE"/>
              </w:rPr>
            </w:pPr>
            <w:r>
              <w:rPr>
                <w:rFonts w:cstheme="minorHAnsi"/>
                <w:sz w:val="20"/>
                <w:szCs w:val="20"/>
                <w:lang w:val="fr-BE"/>
              </w:rPr>
              <w:t>-</w:t>
            </w:r>
          </w:p>
        </w:tc>
        <w:tc>
          <w:tcPr>
            <w:tcW w:w="690" w:type="dxa"/>
            <w:shd w:val="clear" w:color="auto" w:fill="B4C6E7" w:themeFill="accent1" w:themeFillTint="66"/>
          </w:tcPr>
          <w:p w14:paraId="0BDA1B2C">
            <w:pPr>
              <w:rPr>
                <w:rFonts w:cstheme="minorHAnsi"/>
                <w:sz w:val="20"/>
                <w:szCs w:val="20"/>
                <w:lang w:val="fr-BE"/>
              </w:rPr>
            </w:pPr>
          </w:p>
        </w:tc>
        <w:tc>
          <w:tcPr>
            <w:tcW w:w="585" w:type="dxa"/>
            <w:shd w:val="clear" w:color="auto" w:fill="B4C6E7" w:themeFill="accent1" w:themeFillTint="66"/>
          </w:tcPr>
          <w:p w14:paraId="726624E2">
            <w:pPr>
              <w:rPr>
                <w:rFonts w:cstheme="minorHAnsi"/>
                <w:sz w:val="20"/>
                <w:szCs w:val="20"/>
                <w:lang w:val="fr-BE"/>
              </w:rPr>
            </w:pPr>
          </w:p>
        </w:tc>
        <w:tc>
          <w:tcPr>
            <w:tcW w:w="645" w:type="dxa"/>
          </w:tcPr>
          <w:p w14:paraId="6E96522D">
            <w:pPr>
              <w:rPr>
                <w:rFonts w:cstheme="minorHAnsi"/>
                <w:sz w:val="20"/>
                <w:szCs w:val="20"/>
                <w:lang w:val="fr-BE"/>
              </w:rPr>
            </w:pPr>
          </w:p>
        </w:tc>
        <w:tc>
          <w:tcPr>
            <w:tcW w:w="705" w:type="dxa"/>
          </w:tcPr>
          <w:p w14:paraId="1B9A0BDB">
            <w:pPr>
              <w:rPr>
                <w:rFonts w:cstheme="minorHAnsi"/>
                <w:sz w:val="20"/>
                <w:szCs w:val="20"/>
                <w:lang w:val="fr-BE"/>
              </w:rPr>
            </w:pPr>
          </w:p>
        </w:tc>
        <w:tc>
          <w:tcPr>
            <w:tcW w:w="645" w:type="dxa"/>
          </w:tcPr>
          <w:p w14:paraId="39D9E30F">
            <w:pPr>
              <w:rPr>
                <w:rFonts w:cstheme="minorHAnsi"/>
                <w:sz w:val="20"/>
                <w:szCs w:val="20"/>
                <w:lang w:val="fr-BE"/>
              </w:rPr>
            </w:pPr>
          </w:p>
        </w:tc>
        <w:tc>
          <w:tcPr>
            <w:tcW w:w="585" w:type="dxa"/>
          </w:tcPr>
          <w:p w14:paraId="2765D1DF">
            <w:pPr>
              <w:rPr>
                <w:rFonts w:cstheme="minorHAnsi"/>
                <w:sz w:val="20"/>
                <w:szCs w:val="20"/>
                <w:lang w:val="fr-BE"/>
              </w:rPr>
            </w:pPr>
          </w:p>
        </w:tc>
        <w:tc>
          <w:tcPr>
            <w:tcW w:w="736" w:type="dxa"/>
          </w:tcPr>
          <w:p w14:paraId="5B0C5820">
            <w:pPr>
              <w:rPr>
                <w:rFonts w:cstheme="minorHAnsi"/>
                <w:sz w:val="20"/>
                <w:szCs w:val="20"/>
                <w:lang w:val="fr-BE"/>
              </w:rPr>
            </w:pPr>
          </w:p>
        </w:tc>
        <w:tc>
          <w:tcPr>
            <w:tcW w:w="569" w:type="dxa"/>
          </w:tcPr>
          <w:p w14:paraId="6A5AAE5B">
            <w:pPr>
              <w:rPr>
                <w:rFonts w:cstheme="minorHAnsi"/>
                <w:sz w:val="20"/>
                <w:szCs w:val="20"/>
                <w:lang w:val="fr-BE"/>
              </w:rPr>
            </w:pPr>
          </w:p>
        </w:tc>
        <w:tc>
          <w:tcPr>
            <w:tcW w:w="553" w:type="dxa"/>
          </w:tcPr>
          <w:p w14:paraId="51840292">
            <w:pPr>
              <w:rPr>
                <w:rFonts w:cstheme="minorHAnsi"/>
                <w:sz w:val="20"/>
                <w:szCs w:val="20"/>
                <w:lang w:val="fr-BE"/>
              </w:rPr>
            </w:pPr>
          </w:p>
        </w:tc>
        <w:tc>
          <w:tcPr>
            <w:tcW w:w="542" w:type="dxa"/>
          </w:tcPr>
          <w:p w14:paraId="2BFFF3B6">
            <w:pPr>
              <w:rPr>
                <w:rFonts w:cstheme="minorHAnsi"/>
                <w:sz w:val="20"/>
                <w:szCs w:val="20"/>
                <w:lang w:val="fr-BE"/>
              </w:rPr>
            </w:pPr>
          </w:p>
        </w:tc>
        <w:tc>
          <w:tcPr>
            <w:tcW w:w="577" w:type="dxa"/>
          </w:tcPr>
          <w:p w14:paraId="59129344">
            <w:pPr>
              <w:rPr>
                <w:rFonts w:cstheme="minorHAnsi"/>
                <w:sz w:val="20"/>
                <w:szCs w:val="20"/>
                <w:lang w:val="fr-BE"/>
              </w:rPr>
            </w:pPr>
          </w:p>
        </w:tc>
        <w:tc>
          <w:tcPr>
            <w:tcW w:w="559" w:type="dxa"/>
          </w:tcPr>
          <w:p w14:paraId="281F4F68">
            <w:pPr>
              <w:rPr>
                <w:rFonts w:cstheme="minorHAnsi"/>
                <w:sz w:val="20"/>
                <w:szCs w:val="20"/>
                <w:lang w:val="fr-BE"/>
              </w:rPr>
            </w:pPr>
          </w:p>
        </w:tc>
        <w:tc>
          <w:tcPr>
            <w:tcW w:w="649" w:type="dxa"/>
          </w:tcPr>
          <w:p w14:paraId="444C3123">
            <w:pPr>
              <w:rPr>
                <w:rFonts w:cstheme="minorHAnsi"/>
                <w:sz w:val="20"/>
                <w:szCs w:val="20"/>
                <w:lang w:val="fr-BE"/>
              </w:rPr>
            </w:pPr>
          </w:p>
        </w:tc>
      </w:tr>
      <w:tr w14:paraId="51CDA3B3">
        <w:trPr>
          <w:trHeight w:val="300" w:hRule="atLeast"/>
          <w:jc w:val="center"/>
        </w:trPr>
        <w:tc>
          <w:tcPr>
            <w:tcW w:w="3900" w:type="dxa"/>
            <w:shd w:val="clear" w:color="auto" w:fill="ECECEC" w:themeFill="accent3" w:themeFillTint="33"/>
          </w:tcPr>
          <w:p w14:paraId="25ED15B8">
            <w:pPr>
              <w:rPr>
                <w:rFonts w:cstheme="minorHAnsi"/>
                <w:sz w:val="20"/>
                <w:szCs w:val="20"/>
                <w:lang w:val="en-GB"/>
              </w:rPr>
            </w:pPr>
            <w:r>
              <w:rPr>
                <w:rFonts w:cstheme="minorHAnsi"/>
                <w:sz w:val="20"/>
                <w:szCs w:val="20"/>
                <w:lang w:val="en-GB"/>
              </w:rPr>
              <w:t>Request for ASL</w:t>
            </w:r>
          </w:p>
        </w:tc>
        <w:tc>
          <w:tcPr>
            <w:tcW w:w="1020" w:type="dxa"/>
            <w:shd w:val="clear" w:color="auto" w:fill="ECECEC" w:themeFill="accent3" w:themeFillTint="33"/>
            <w:vAlign w:val="center"/>
          </w:tcPr>
          <w:p w14:paraId="07EBDF72">
            <w:pPr>
              <w:jc w:val="center"/>
              <w:rPr>
                <w:rFonts w:cstheme="minorHAnsi"/>
                <w:sz w:val="20"/>
                <w:szCs w:val="20"/>
                <w:lang w:val="en-GB"/>
              </w:rPr>
            </w:pPr>
            <w:r>
              <w:rPr>
                <w:rFonts w:cstheme="minorHAnsi"/>
                <w:sz w:val="20"/>
                <w:szCs w:val="20"/>
                <w:lang w:val="en-GB"/>
              </w:rPr>
              <w:t>-</w:t>
            </w:r>
          </w:p>
        </w:tc>
        <w:tc>
          <w:tcPr>
            <w:tcW w:w="690" w:type="dxa"/>
            <w:shd w:val="clear" w:color="auto" w:fill="B4C6E7" w:themeFill="accent1" w:themeFillTint="66"/>
          </w:tcPr>
          <w:p w14:paraId="6413DA73">
            <w:pPr>
              <w:rPr>
                <w:rFonts w:cstheme="minorHAnsi"/>
                <w:sz w:val="20"/>
                <w:szCs w:val="20"/>
                <w:lang w:val="en-GB"/>
              </w:rPr>
            </w:pPr>
          </w:p>
        </w:tc>
        <w:tc>
          <w:tcPr>
            <w:tcW w:w="585" w:type="dxa"/>
          </w:tcPr>
          <w:p w14:paraId="593B1C78">
            <w:pPr>
              <w:rPr>
                <w:rFonts w:cstheme="minorHAnsi"/>
                <w:sz w:val="20"/>
                <w:szCs w:val="20"/>
                <w:lang w:val="en-GB"/>
              </w:rPr>
            </w:pPr>
          </w:p>
        </w:tc>
        <w:tc>
          <w:tcPr>
            <w:tcW w:w="645" w:type="dxa"/>
          </w:tcPr>
          <w:p w14:paraId="142270F4">
            <w:pPr>
              <w:rPr>
                <w:rFonts w:cstheme="minorHAnsi"/>
                <w:sz w:val="20"/>
                <w:szCs w:val="20"/>
                <w:lang w:val="en-GB"/>
              </w:rPr>
            </w:pPr>
          </w:p>
        </w:tc>
        <w:tc>
          <w:tcPr>
            <w:tcW w:w="705" w:type="dxa"/>
          </w:tcPr>
          <w:p w14:paraId="3FC3F6D3">
            <w:pPr>
              <w:rPr>
                <w:rFonts w:cstheme="minorHAnsi"/>
                <w:sz w:val="20"/>
                <w:szCs w:val="20"/>
                <w:lang w:val="en-GB"/>
              </w:rPr>
            </w:pPr>
          </w:p>
        </w:tc>
        <w:tc>
          <w:tcPr>
            <w:tcW w:w="645" w:type="dxa"/>
          </w:tcPr>
          <w:p w14:paraId="2CA99FDB">
            <w:pPr>
              <w:rPr>
                <w:rFonts w:cstheme="minorHAnsi"/>
                <w:sz w:val="20"/>
                <w:szCs w:val="20"/>
                <w:lang w:val="en-GB"/>
              </w:rPr>
            </w:pPr>
          </w:p>
        </w:tc>
        <w:tc>
          <w:tcPr>
            <w:tcW w:w="585" w:type="dxa"/>
          </w:tcPr>
          <w:p w14:paraId="2443F154">
            <w:pPr>
              <w:rPr>
                <w:rFonts w:cstheme="minorHAnsi"/>
                <w:sz w:val="20"/>
                <w:szCs w:val="20"/>
                <w:lang w:val="en-GB"/>
              </w:rPr>
            </w:pPr>
          </w:p>
        </w:tc>
        <w:tc>
          <w:tcPr>
            <w:tcW w:w="736" w:type="dxa"/>
          </w:tcPr>
          <w:p w14:paraId="1668C962">
            <w:pPr>
              <w:rPr>
                <w:rFonts w:cstheme="minorHAnsi"/>
                <w:sz w:val="20"/>
                <w:szCs w:val="20"/>
                <w:lang w:val="en-GB"/>
              </w:rPr>
            </w:pPr>
          </w:p>
        </w:tc>
        <w:tc>
          <w:tcPr>
            <w:tcW w:w="569" w:type="dxa"/>
          </w:tcPr>
          <w:p w14:paraId="061505F9">
            <w:pPr>
              <w:rPr>
                <w:rFonts w:cstheme="minorHAnsi"/>
                <w:sz w:val="20"/>
                <w:szCs w:val="20"/>
                <w:lang w:val="en-GB"/>
              </w:rPr>
            </w:pPr>
          </w:p>
        </w:tc>
        <w:tc>
          <w:tcPr>
            <w:tcW w:w="553" w:type="dxa"/>
          </w:tcPr>
          <w:p w14:paraId="473E3E64">
            <w:pPr>
              <w:rPr>
                <w:rFonts w:cstheme="minorHAnsi"/>
                <w:sz w:val="20"/>
                <w:szCs w:val="20"/>
                <w:lang w:val="en-GB"/>
              </w:rPr>
            </w:pPr>
          </w:p>
        </w:tc>
        <w:tc>
          <w:tcPr>
            <w:tcW w:w="542" w:type="dxa"/>
          </w:tcPr>
          <w:p w14:paraId="5E612842">
            <w:pPr>
              <w:rPr>
                <w:rFonts w:cstheme="minorHAnsi"/>
                <w:sz w:val="20"/>
                <w:szCs w:val="20"/>
                <w:lang w:val="en-GB"/>
              </w:rPr>
            </w:pPr>
          </w:p>
        </w:tc>
        <w:tc>
          <w:tcPr>
            <w:tcW w:w="577" w:type="dxa"/>
          </w:tcPr>
          <w:p w14:paraId="54FACD95">
            <w:pPr>
              <w:rPr>
                <w:rFonts w:cstheme="minorHAnsi"/>
                <w:sz w:val="20"/>
                <w:szCs w:val="20"/>
                <w:lang w:val="en-GB"/>
              </w:rPr>
            </w:pPr>
          </w:p>
        </w:tc>
        <w:tc>
          <w:tcPr>
            <w:tcW w:w="559" w:type="dxa"/>
          </w:tcPr>
          <w:p w14:paraId="2D52A65F">
            <w:pPr>
              <w:rPr>
                <w:rFonts w:cstheme="minorHAnsi"/>
                <w:sz w:val="20"/>
                <w:szCs w:val="20"/>
                <w:lang w:val="en-GB"/>
              </w:rPr>
            </w:pPr>
          </w:p>
        </w:tc>
        <w:tc>
          <w:tcPr>
            <w:tcW w:w="649" w:type="dxa"/>
          </w:tcPr>
          <w:p w14:paraId="05CB4043">
            <w:pPr>
              <w:rPr>
                <w:rFonts w:cstheme="minorHAnsi"/>
                <w:sz w:val="20"/>
                <w:szCs w:val="20"/>
                <w:lang w:val="en-GB"/>
              </w:rPr>
            </w:pPr>
          </w:p>
        </w:tc>
      </w:tr>
      <w:tr w14:paraId="7913287C">
        <w:trPr>
          <w:trHeight w:val="300" w:hRule="atLeast"/>
          <w:jc w:val="center"/>
        </w:trPr>
        <w:tc>
          <w:tcPr>
            <w:tcW w:w="3900" w:type="dxa"/>
            <w:shd w:val="clear" w:color="auto" w:fill="ECECEC" w:themeFill="accent3" w:themeFillTint="33"/>
          </w:tcPr>
          <w:p w14:paraId="28571888">
            <w:pPr>
              <w:rPr>
                <w:rFonts w:cstheme="minorHAnsi"/>
                <w:sz w:val="20"/>
                <w:szCs w:val="20"/>
                <w:lang w:val="en-GB"/>
              </w:rPr>
            </w:pPr>
            <w:r>
              <w:rPr>
                <w:rFonts w:cstheme="minorHAnsi"/>
                <w:sz w:val="20"/>
                <w:szCs w:val="20"/>
                <w:lang w:val="en-GB"/>
              </w:rPr>
              <w:t>PPG Kick-off Meeting (online)</w:t>
            </w:r>
          </w:p>
        </w:tc>
        <w:tc>
          <w:tcPr>
            <w:tcW w:w="1020" w:type="dxa"/>
            <w:shd w:val="clear" w:color="auto" w:fill="ECECEC" w:themeFill="accent3" w:themeFillTint="33"/>
            <w:vAlign w:val="center"/>
          </w:tcPr>
          <w:p w14:paraId="607EE4AC">
            <w:pPr>
              <w:jc w:val="center"/>
              <w:rPr>
                <w:rFonts w:cstheme="minorHAnsi"/>
                <w:sz w:val="20"/>
                <w:szCs w:val="20"/>
                <w:lang w:val="en-GB"/>
              </w:rPr>
            </w:pPr>
            <w:r>
              <w:rPr>
                <w:rFonts w:cstheme="minorHAnsi"/>
                <w:sz w:val="20"/>
                <w:szCs w:val="20"/>
                <w:lang w:val="en-GB"/>
              </w:rPr>
              <w:t>-</w:t>
            </w:r>
          </w:p>
        </w:tc>
        <w:tc>
          <w:tcPr>
            <w:tcW w:w="690" w:type="dxa"/>
          </w:tcPr>
          <w:p w14:paraId="0FE6EC43">
            <w:pPr>
              <w:rPr>
                <w:rFonts w:cstheme="minorHAnsi"/>
                <w:sz w:val="20"/>
                <w:szCs w:val="20"/>
                <w:lang w:val="en-GB"/>
              </w:rPr>
            </w:pPr>
          </w:p>
        </w:tc>
        <w:tc>
          <w:tcPr>
            <w:tcW w:w="585" w:type="dxa"/>
          </w:tcPr>
          <w:p w14:paraId="404C9ED2">
            <w:pPr>
              <w:rPr>
                <w:rFonts w:cstheme="minorHAnsi"/>
                <w:sz w:val="20"/>
                <w:szCs w:val="20"/>
                <w:lang w:val="en-GB"/>
              </w:rPr>
            </w:pPr>
          </w:p>
        </w:tc>
        <w:tc>
          <w:tcPr>
            <w:tcW w:w="645" w:type="dxa"/>
            <w:shd w:val="clear" w:color="auto" w:fill="B4C6E7" w:themeFill="accent1" w:themeFillTint="66"/>
          </w:tcPr>
          <w:p w14:paraId="4DA18DB0">
            <w:pPr>
              <w:rPr>
                <w:rFonts w:cstheme="minorHAnsi"/>
                <w:sz w:val="20"/>
                <w:szCs w:val="20"/>
                <w:lang w:val="en-GB"/>
              </w:rPr>
            </w:pPr>
          </w:p>
        </w:tc>
        <w:tc>
          <w:tcPr>
            <w:tcW w:w="705" w:type="dxa"/>
          </w:tcPr>
          <w:p w14:paraId="3CEF17AE">
            <w:pPr>
              <w:rPr>
                <w:rFonts w:cstheme="minorHAnsi"/>
                <w:sz w:val="20"/>
                <w:szCs w:val="20"/>
                <w:lang w:val="en-GB"/>
              </w:rPr>
            </w:pPr>
          </w:p>
        </w:tc>
        <w:tc>
          <w:tcPr>
            <w:tcW w:w="645" w:type="dxa"/>
          </w:tcPr>
          <w:p w14:paraId="7BC62EB7">
            <w:pPr>
              <w:rPr>
                <w:rFonts w:cstheme="minorHAnsi"/>
                <w:sz w:val="20"/>
                <w:szCs w:val="20"/>
                <w:lang w:val="en-GB"/>
              </w:rPr>
            </w:pPr>
          </w:p>
        </w:tc>
        <w:tc>
          <w:tcPr>
            <w:tcW w:w="585" w:type="dxa"/>
          </w:tcPr>
          <w:p w14:paraId="388ECE1A">
            <w:pPr>
              <w:rPr>
                <w:rFonts w:cstheme="minorHAnsi"/>
                <w:sz w:val="20"/>
                <w:szCs w:val="20"/>
                <w:lang w:val="en-GB"/>
              </w:rPr>
            </w:pPr>
          </w:p>
        </w:tc>
        <w:tc>
          <w:tcPr>
            <w:tcW w:w="736" w:type="dxa"/>
          </w:tcPr>
          <w:p w14:paraId="73C74BD4">
            <w:pPr>
              <w:rPr>
                <w:rFonts w:cstheme="minorHAnsi"/>
                <w:sz w:val="20"/>
                <w:szCs w:val="20"/>
                <w:lang w:val="en-GB"/>
              </w:rPr>
            </w:pPr>
          </w:p>
        </w:tc>
        <w:tc>
          <w:tcPr>
            <w:tcW w:w="569" w:type="dxa"/>
          </w:tcPr>
          <w:p w14:paraId="4E947AE3">
            <w:pPr>
              <w:rPr>
                <w:rFonts w:cstheme="minorHAnsi"/>
                <w:sz w:val="20"/>
                <w:szCs w:val="20"/>
                <w:lang w:val="en-GB"/>
              </w:rPr>
            </w:pPr>
          </w:p>
        </w:tc>
        <w:tc>
          <w:tcPr>
            <w:tcW w:w="553" w:type="dxa"/>
          </w:tcPr>
          <w:p w14:paraId="7ABCE723">
            <w:pPr>
              <w:rPr>
                <w:rFonts w:cstheme="minorHAnsi"/>
                <w:sz w:val="20"/>
                <w:szCs w:val="20"/>
                <w:lang w:val="en-GB"/>
              </w:rPr>
            </w:pPr>
          </w:p>
        </w:tc>
        <w:tc>
          <w:tcPr>
            <w:tcW w:w="542" w:type="dxa"/>
          </w:tcPr>
          <w:p w14:paraId="743F3F09">
            <w:pPr>
              <w:rPr>
                <w:rFonts w:cstheme="minorHAnsi"/>
                <w:sz w:val="20"/>
                <w:szCs w:val="20"/>
                <w:lang w:val="en-GB"/>
              </w:rPr>
            </w:pPr>
          </w:p>
        </w:tc>
        <w:tc>
          <w:tcPr>
            <w:tcW w:w="577" w:type="dxa"/>
          </w:tcPr>
          <w:p w14:paraId="1E864A41">
            <w:pPr>
              <w:rPr>
                <w:rFonts w:cstheme="minorHAnsi"/>
                <w:sz w:val="20"/>
                <w:szCs w:val="20"/>
                <w:lang w:val="en-GB"/>
              </w:rPr>
            </w:pPr>
          </w:p>
        </w:tc>
        <w:tc>
          <w:tcPr>
            <w:tcW w:w="559" w:type="dxa"/>
          </w:tcPr>
          <w:p w14:paraId="1C920956">
            <w:pPr>
              <w:rPr>
                <w:rFonts w:cstheme="minorHAnsi"/>
                <w:sz w:val="20"/>
                <w:szCs w:val="20"/>
                <w:lang w:val="en-GB"/>
              </w:rPr>
            </w:pPr>
          </w:p>
        </w:tc>
        <w:tc>
          <w:tcPr>
            <w:tcW w:w="649" w:type="dxa"/>
          </w:tcPr>
          <w:p w14:paraId="7987D42D">
            <w:pPr>
              <w:rPr>
                <w:rFonts w:cstheme="minorHAnsi"/>
                <w:sz w:val="20"/>
                <w:szCs w:val="20"/>
                <w:lang w:val="en-GB"/>
              </w:rPr>
            </w:pPr>
          </w:p>
        </w:tc>
      </w:tr>
      <w:tr w14:paraId="0E1C1879">
        <w:trPr>
          <w:trHeight w:val="300" w:hRule="atLeast"/>
          <w:jc w:val="center"/>
        </w:trPr>
        <w:tc>
          <w:tcPr>
            <w:tcW w:w="3900" w:type="dxa"/>
            <w:shd w:val="clear" w:color="auto" w:fill="ECECEC" w:themeFill="accent3" w:themeFillTint="33"/>
          </w:tcPr>
          <w:p w14:paraId="14352D56">
            <w:pPr>
              <w:rPr>
                <w:rFonts w:cstheme="minorHAnsi"/>
                <w:sz w:val="20"/>
                <w:szCs w:val="20"/>
              </w:rPr>
            </w:pPr>
            <w:r>
              <w:rPr>
                <w:rFonts w:cstheme="minorHAnsi"/>
                <w:b/>
                <w:bCs/>
                <w:sz w:val="20"/>
                <w:szCs w:val="20"/>
              </w:rPr>
              <w:t>Component A:</w:t>
            </w:r>
            <w:r>
              <w:rPr>
                <w:rFonts w:cstheme="minorHAnsi"/>
                <w:sz w:val="20"/>
                <w:szCs w:val="20"/>
              </w:rPr>
              <w:t xml:space="preserve"> Preparatory Technical Studies &amp; Reviews – desktop and field-based studies and data collection; gender analysis; SES screening and assessments; identification of project sites; financial planning, co-financing, and investment mobilized; most appropriate project implementation and execution modality; other required studies</w:t>
            </w:r>
          </w:p>
        </w:tc>
        <w:tc>
          <w:tcPr>
            <w:tcW w:w="1020" w:type="dxa"/>
            <w:shd w:val="clear" w:color="auto" w:fill="ECECEC" w:themeFill="accent3" w:themeFillTint="33"/>
            <w:vAlign w:val="center"/>
          </w:tcPr>
          <w:p w14:paraId="0DD91FAC">
            <w:pPr>
              <w:jc w:val="center"/>
              <w:rPr>
                <w:rFonts w:cstheme="minorHAnsi"/>
                <w:b/>
                <w:bCs/>
                <w:sz w:val="20"/>
                <w:szCs w:val="20"/>
              </w:rPr>
            </w:pPr>
            <w:r>
              <w:rPr>
                <w:rFonts w:cstheme="minorHAnsi"/>
                <w:b/>
                <w:bCs/>
                <w:sz w:val="20"/>
                <w:szCs w:val="20"/>
              </w:rPr>
              <w:t>58,700</w:t>
            </w:r>
          </w:p>
        </w:tc>
        <w:tc>
          <w:tcPr>
            <w:tcW w:w="690" w:type="dxa"/>
          </w:tcPr>
          <w:p w14:paraId="37F40BC6">
            <w:pPr>
              <w:rPr>
                <w:rFonts w:cstheme="minorHAnsi"/>
                <w:sz w:val="20"/>
                <w:szCs w:val="20"/>
                <w:lang w:val="en-GB"/>
              </w:rPr>
            </w:pPr>
          </w:p>
        </w:tc>
        <w:tc>
          <w:tcPr>
            <w:tcW w:w="585" w:type="dxa"/>
          </w:tcPr>
          <w:p w14:paraId="60051618">
            <w:pPr>
              <w:rPr>
                <w:rFonts w:cstheme="minorHAnsi"/>
                <w:sz w:val="20"/>
                <w:szCs w:val="20"/>
                <w:lang w:val="en-GB"/>
              </w:rPr>
            </w:pPr>
          </w:p>
        </w:tc>
        <w:tc>
          <w:tcPr>
            <w:tcW w:w="645" w:type="dxa"/>
            <w:shd w:val="clear" w:color="auto" w:fill="B4C6E7" w:themeFill="accent1" w:themeFillTint="66"/>
          </w:tcPr>
          <w:p w14:paraId="33294187">
            <w:pPr>
              <w:rPr>
                <w:rFonts w:cstheme="minorHAnsi"/>
                <w:sz w:val="20"/>
                <w:szCs w:val="20"/>
                <w:lang w:val="en-GB"/>
              </w:rPr>
            </w:pPr>
          </w:p>
        </w:tc>
        <w:tc>
          <w:tcPr>
            <w:tcW w:w="705" w:type="dxa"/>
            <w:shd w:val="clear" w:color="auto" w:fill="B4C6E7" w:themeFill="accent1" w:themeFillTint="66"/>
          </w:tcPr>
          <w:p w14:paraId="25BF49C0">
            <w:pPr>
              <w:rPr>
                <w:rFonts w:cstheme="minorHAnsi"/>
                <w:sz w:val="20"/>
                <w:szCs w:val="20"/>
                <w:lang w:val="en-GB"/>
              </w:rPr>
            </w:pPr>
          </w:p>
        </w:tc>
        <w:tc>
          <w:tcPr>
            <w:tcW w:w="645" w:type="dxa"/>
            <w:shd w:val="clear" w:color="auto" w:fill="B4C6E7" w:themeFill="accent1" w:themeFillTint="66"/>
          </w:tcPr>
          <w:p w14:paraId="0DC30659">
            <w:pPr>
              <w:rPr>
                <w:rFonts w:cstheme="minorHAnsi"/>
                <w:sz w:val="20"/>
                <w:szCs w:val="20"/>
                <w:lang w:val="en-GB"/>
              </w:rPr>
            </w:pPr>
          </w:p>
        </w:tc>
        <w:tc>
          <w:tcPr>
            <w:tcW w:w="585" w:type="dxa"/>
            <w:shd w:val="clear" w:color="auto" w:fill="B4C6E7" w:themeFill="accent1" w:themeFillTint="66"/>
          </w:tcPr>
          <w:p w14:paraId="62AC5635">
            <w:pPr>
              <w:rPr>
                <w:rFonts w:cstheme="minorHAnsi"/>
                <w:sz w:val="20"/>
                <w:szCs w:val="20"/>
                <w:lang w:val="en-GB"/>
              </w:rPr>
            </w:pPr>
          </w:p>
        </w:tc>
        <w:tc>
          <w:tcPr>
            <w:tcW w:w="736" w:type="dxa"/>
            <w:shd w:val="clear" w:color="auto" w:fill="B4C6E7" w:themeFill="accent1" w:themeFillTint="66"/>
          </w:tcPr>
          <w:p w14:paraId="540D919C">
            <w:pPr>
              <w:rPr>
                <w:rFonts w:cstheme="minorHAnsi"/>
                <w:sz w:val="20"/>
                <w:szCs w:val="20"/>
                <w:lang w:val="en-GB"/>
              </w:rPr>
            </w:pPr>
          </w:p>
        </w:tc>
        <w:tc>
          <w:tcPr>
            <w:tcW w:w="569" w:type="dxa"/>
            <w:shd w:val="clear" w:color="auto" w:fill="B4C6E7" w:themeFill="accent1" w:themeFillTint="66"/>
          </w:tcPr>
          <w:p w14:paraId="1C2647D1">
            <w:pPr>
              <w:rPr>
                <w:rFonts w:cstheme="minorHAnsi"/>
                <w:sz w:val="20"/>
                <w:szCs w:val="20"/>
                <w:lang w:val="en-GB"/>
              </w:rPr>
            </w:pPr>
          </w:p>
        </w:tc>
        <w:tc>
          <w:tcPr>
            <w:tcW w:w="553" w:type="dxa"/>
          </w:tcPr>
          <w:p w14:paraId="7401CB10">
            <w:pPr>
              <w:rPr>
                <w:rFonts w:cstheme="minorHAnsi"/>
                <w:sz w:val="20"/>
                <w:szCs w:val="20"/>
                <w:lang w:val="en-GB"/>
              </w:rPr>
            </w:pPr>
          </w:p>
        </w:tc>
        <w:tc>
          <w:tcPr>
            <w:tcW w:w="542" w:type="dxa"/>
          </w:tcPr>
          <w:p w14:paraId="23C5F3A2">
            <w:pPr>
              <w:rPr>
                <w:rFonts w:cstheme="minorHAnsi"/>
                <w:sz w:val="20"/>
                <w:szCs w:val="20"/>
                <w:lang w:val="en-GB"/>
              </w:rPr>
            </w:pPr>
          </w:p>
        </w:tc>
        <w:tc>
          <w:tcPr>
            <w:tcW w:w="577" w:type="dxa"/>
          </w:tcPr>
          <w:p w14:paraId="134300E7">
            <w:pPr>
              <w:rPr>
                <w:rFonts w:cstheme="minorHAnsi"/>
                <w:sz w:val="20"/>
                <w:szCs w:val="20"/>
                <w:lang w:val="en-GB"/>
              </w:rPr>
            </w:pPr>
          </w:p>
        </w:tc>
        <w:tc>
          <w:tcPr>
            <w:tcW w:w="559" w:type="dxa"/>
          </w:tcPr>
          <w:p w14:paraId="19795537">
            <w:pPr>
              <w:rPr>
                <w:rFonts w:cstheme="minorHAnsi"/>
                <w:sz w:val="20"/>
                <w:szCs w:val="20"/>
                <w:lang w:val="en-GB"/>
              </w:rPr>
            </w:pPr>
          </w:p>
        </w:tc>
        <w:tc>
          <w:tcPr>
            <w:tcW w:w="649" w:type="dxa"/>
          </w:tcPr>
          <w:p w14:paraId="7FFC8420">
            <w:pPr>
              <w:rPr>
                <w:rFonts w:cstheme="minorHAnsi"/>
                <w:sz w:val="20"/>
                <w:szCs w:val="20"/>
                <w:lang w:val="en-GB"/>
              </w:rPr>
            </w:pPr>
          </w:p>
        </w:tc>
      </w:tr>
      <w:tr w14:paraId="4B42AF8F">
        <w:trPr>
          <w:trHeight w:val="300" w:hRule="atLeast"/>
          <w:jc w:val="center"/>
        </w:trPr>
        <w:tc>
          <w:tcPr>
            <w:tcW w:w="3900" w:type="dxa"/>
            <w:shd w:val="clear" w:color="auto" w:fill="ECECEC" w:themeFill="accent3" w:themeFillTint="33"/>
          </w:tcPr>
          <w:p w14:paraId="6857EE45">
            <w:pPr>
              <w:rPr>
                <w:rFonts w:cstheme="minorHAnsi"/>
                <w:sz w:val="20"/>
                <w:szCs w:val="20"/>
                <w:lang w:val="en-GB"/>
              </w:rPr>
            </w:pPr>
            <w:r>
              <w:rPr>
                <w:rFonts w:cstheme="minorHAnsi"/>
                <w:b/>
                <w:bCs/>
                <w:sz w:val="20"/>
                <w:szCs w:val="20"/>
                <w:lang w:val="en-GB"/>
              </w:rPr>
              <w:t>Component B:</w:t>
            </w:r>
            <w:r>
              <w:rPr>
                <w:rFonts w:cstheme="minorHAnsi"/>
                <w:sz w:val="20"/>
                <w:szCs w:val="20"/>
                <w:lang w:val="en-GB"/>
              </w:rPr>
              <w:t xml:space="preserve"> Formulation of UNDP-GEF Project Document, CEO Endorsement Request and Mandatory and Project Specific Annexes</w:t>
            </w:r>
          </w:p>
        </w:tc>
        <w:tc>
          <w:tcPr>
            <w:tcW w:w="1020" w:type="dxa"/>
            <w:vMerge w:val="restart"/>
            <w:shd w:val="clear" w:color="auto" w:fill="ECECEC" w:themeFill="accent3" w:themeFillTint="33"/>
            <w:vAlign w:val="center"/>
          </w:tcPr>
          <w:p w14:paraId="7D681B55">
            <w:pPr>
              <w:jc w:val="center"/>
              <w:rPr>
                <w:rFonts w:cstheme="minorHAnsi"/>
                <w:b/>
                <w:bCs/>
                <w:sz w:val="20"/>
                <w:szCs w:val="20"/>
                <w:lang w:val="en-GB"/>
              </w:rPr>
            </w:pPr>
            <w:r>
              <w:rPr>
                <w:rFonts w:cstheme="minorHAnsi"/>
                <w:b/>
                <w:bCs/>
                <w:sz w:val="20"/>
                <w:szCs w:val="20"/>
                <w:lang w:val="en-GB"/>
              </w:rPr>
              <w:t>55,700</w:t>
            </w:r>
          </w:p>
        </w:tc>
        <w:tc>
          <w:tcPr>
            <w:tcW w:w="690" w:type="dxa"/>
          </w:tcPr>
          <w:p w14:paraId="2049E228">
            <w:pPr>
              <w:rPr>
                <w:rFonts w:cstheme="minorHAnsi"/>
                <w:sz w:val="20"/>
                <w:szCs w:val="20"/>
                <w:lang w:val="en-GB"/>
              </w:rPr>
            </w:pPr>
          </w:p>
        </w:tc>
        <w:tc>
          <w:tcPr>
            <w:tcW w:w="585" w:type="dxa"/>
          </w:tcPr>
          <w:p w14:paraId="09E4CC9F">
            <w:pPr>
              <w:rPr>
                <w:rFonts w:cstheme="minorHAnsi"/>
                <w:sz w:val="20"/>
                <w:szCs w:val="20"/>
                <w:lang w:val="en-GB"/>
              </w:rPr>
            </w:pPr>
          </w:p>
        </w:tc>
        <w:tc>
          <w:tcPr>
            <w:tcW w:w="645" w:type="dxa"/>
          </w:tcPr>
          <w:p w14:paraId="5A2C5F3A">
            <w:pPr>
              <w:rPr>
                <w:rFonts w:cstheme="minorHAnsi"/>
                <w:sz w:val="20"/>
                <w:szCs w:val="20"/>
                <w:lang w:val="en-GB"/>
              </w:rPr>
            </w:pPr>
          </w:p>
        </w:tc>
        <w:tc>
          <w:tcPr>
            <w:tcW w:w="705" w:type="dxa"/>
          </w:tcPr>
          <w:p w14:paraId="39E04756">
            <w:pPr>
              <w:rPr>
                <w:rFonts w:cstheme="minorHAnsi"/>
                <w:sz w:val="20"/>
                <w:szCs w:val="20"/>
                <w:lang w:val="en-GB"/>
              </w:rPr>
            </w:pPr>
          </w:p>
        </w:tc>
        <w:tc>
          <w:tcPr>
            <w:tcW w:w="645" w:type="dxa"/>
          </w:tcPr>
          <w:p w14:paraId="286CEC37">
            <w:pPr>
              <w:rPr>
                <w:rFonts w:cstheme="minorHAnsi"/>
                <w:sz w:val="20"/>
                <w:szCs w:val="20"/>
                <w:lang w:val="en-GB"/>
              </w:rPr>
            </w:pPr>
          </w:p>
        </w:tc>
        <w:tc>
          <w:tcPr>
            <w:tcW w:w="585" w:type="dxa"/>
            <w:shd w:val="clear" w:color="auto" w:fill="B4C6E7" w:themeFill="accent1" w:themeFillTint="66"/>
          </w:tcPr>
          <w:p w14:paraId="13A826C4">
            <w:pPr>
              <w:rPr>
                <w:rFonts w:cstheme="minorHAnsi"/>
                <w:sz w:val="20"/>
                <w:szCs w:val="20"/>
                <w:lang w:val="en-GB"/>
              </w:rPr>
            </w:pPr>
          </w:p>
        </w:tc>
        <w:tc>
          <w:tcPr>
            <w:tcW w:w="736" w:type="dxa"/>
            <w:shd w:val="clear" w:color="auto" w:fill="B4C6E7" w:themeFill="accent1" w:themeFillTint="66"/>
          </w:tcPr>
          <w:p w14:paraId="70736BC2">
            <w:pPr>
              <w:rPr>
                <w:rFonts w:cstheme="minorHAnsi"/>
                <w:sz w:val="20"/>
                <w:szCs w:val="20"/>
                <w:lang w:val="en-GB"/>
              </w:rPr>
            </w:pPr>
          </w:p>
        </w:tc>
        <w:tc>
          <w:tcPr>
            <w:tcW w:w="569" w:type="dxa"/>
            <w:shd w:val="clear" w:color="auto" w:fill="B4C6E7" w:themeFill="accent1" w:themeFillTint="66"/>
          </w:tcPr>
          <w:p w14:paraId="6C689234">
            <w:pPr>
              <w:rPr>
                <w:rFonts w:cstheme="minorHAnsi"/>
                <w:sz w:val="20"/>
                <w:szCs w:val="20"/>
                <w:lang w:val="en-GB"/>
              </w:rPr>
            </w:pPr>
          </w:p>
        </w:tc>
        <w:tc>
          <w:tcPr>
            <w:tcW w:w="553" w:type="dxa"/>
            <w:shd w:val="clear" w:color="auto" w:fill="B4C6E7" w:themeFill="accent1" w:themeFillTint="66"/>
          </w:tcPr>
          <w:p w14:paraId="7184C0A9">
            <w:pPr>
              <w:rPr>
                <w:rFonts w:cstheme="minorHAnsi"/>
                <w:sz w:val="20"/>
                <w:szCs w:val="20"/>
                <w:lang w:val="en-GB"/>
              </w:rPr>
            </w:pPr>
          </w:p>
        </w:tc>
        <w:tc>
          <w:tcPr>
            <w:tcW w:w="542" w:type="dxa"/>
            <w:shd w:val="clear" w:color="auto" w:fill="B4C6E7" w:themeFill="accent1" w:themeFillTint="66"/>
          </w:tcPr>
          <w:p w14:paraId="39B00DEA">
            <w:pPr>
              <w:rPr>
                <w:rFonts w:cstheme="minorHAnsi"/>
                <w:sz w:val="20"/>
                <w:szCs w:val="20"/>
                <w:lang w:val="en-GB"/>
              </w:rPr>
            </w:pPr>
          </w:p>
        </w:tc>
        <w:tc>
          <w:tcPr>
            <w:tcW w:w="577" w:type="dxa"/>
          </w:tcPr>
          <w:p w14:paraId="495AB14D">
            <w:pPr>
              <w:rPr>
                <w:rFonts w:cstheme="minorHAnsi"/>
                <w:sz w:val="20"/>
                <w:szCs w:val="20"/>
                <w:lang w:val="en-GB"/>
              </w:rPr>
            </w:pPr>
          </w:p>
        </w:tc>
        <w:tc>
          <w:tcPr>
            <w:tcW w:w="559" w:type="dxa"/>
          </w:tcPr>
          <w:p w14:paraId="1A15160C">
            <w:pPr>
              <w:rPr>
                <w:rFonts w:cstheme="minorHAnsi"/>
                <w:sz w:val="20"/>
                <w:szCs w:val="20"/>
                <w:lang w:val="en-GB"/>
              </w:rPr>
            </w:pPr>
          </w:p>
        </w:tc>
        <w:tc>
          <w:tcPr>
            <w:tcW w:w="649" w:type="dxa"/>
          </w:tcPr>
          <w:p w14:paraId="29F14CAF">
            <w:pPr>
              <w:rPr>
                <w:rFonts w:cstheme="minorHAnsi"/>
                <w:sz w:val="20"/>
                <w:szCs w:val="20"/>
                <w:lang w:val="en-GB"/>
              </w:rPr>
            </w:pPr>
          </w:p>
        </w:tc>
      </w:tr>
      <w:tr w14:paraId="78D67105">
        <w:trPr>
          <w:trHeight w:val="300" w:hRule="atLeast"/>
          <w:jc w:val="center"/>
        </w:trPr>
        <w:tc>
          <w:tcPr>
            <w:tcW w:w="3900" w:type="dxa"/>
            <w:shd w:val="clear" w:color="auto" w:fill="ECECEC" w:themeFill="accent3" w:themeFillTint="33"/>
          </w:tcPr>
          <w:p w14:paraId="0ACDA1BA">
            <w:pPr>
              <w:rPr>
                <w:rFonts w:cstheme="minorHAnsi"/>
                <w:sz w:val="20"/>
                <w:szCs w:val="20"/>
                <w:lang w:val="en-GB"/>
              </w:rPr>
            </w:pPr>
            <w:r>
              <w:rPr>
                <w:rFonts w:cstheme="minorHAnsi"/>
                <w:sz w:val="20"/>
                <w:szCs w:val="20"/>
                <w:lang w:val="en-GB"/>
              </w:rPr>
              <w:t>Negotiate and collect co-financing letters from Governments and potential partners</w:t>
            </w:r>
          </w:p>
        </w:tc>
        <w:tc>
          <w:tcPr>
            <w:tcW w:w="1020" w:type="dxa"/>
            <w:vMerge w:val="continue"/>
            <w:vAlign w:val="center"/>
          </w:tcPr>
          <w:p w14:paraId="7A59330D">
            <w:pPr>
              <w:rPr>
                <w:rFonts w:cstheme="minorHAnsi"/>
              </w:rPr>
            </w:pPr>
          </w:p>
        </w:tc>
        <w:tc>
          <w:tcPr>
            <w:tcW w:w="690" w:type="dxa"/>
          </w:tcPr>
          <w:p w14:paraId="72E1997F">
            <w:pPr>
              <w:rPr>
                <w:rFonts w:cstheme="minorHAnsi"/>
                <w:sz w:val="20"/>
                <w:szCs w:val="20"/>
                <w:lang w:val="en-GB"/>
              </w:rPr>
            </w:pPr>
          </w:p>
        </w:tc>
        <w:tc>
          <w:tcPr>
            <w:tcW w:w="585" w:type="dxa"/>
          </w:tcPr>
          <w:p w14:paraId="0E26FCCC">
            <w:pPr>
              <w:rPr>
                <w:rFonts w:cstheme="minorHAnsi"/>
                <w:sz w:val="20"/>
                <w:szCs w:val="20"/>
                <w:lang w:val="en-GB"/>
              </w:rPr>
            </w:pPr>
          </w:p>
        </w:tc>
        <w:tc>
          <w:tcPr>
            <w:tcW w:w="645" w:type="dxa"/>
          </w:tcPr>
          <w:p w14:paraId="61685BA2">
            <w:pPr>
              <w:rPr>
                <w:rFonts w:cstheme="minorHAnsi"/>
                <w:sz w:val="20"/>
                <w:szCs w:val="20"/>
                <w:lang w:val="en-GB"/>
              </w:rPr>
            </w:pPr>
          </w:p>
        </w:tc>
        <w:tc>
          <w:tcPr>
            <w:tcW w:w="705" w:type="dxa"/>
          </w:tcPr>
          <w:p w14:paraId="62F17890">
            <w:pPr>
              <w:rPr>
                <w:rFonts w:cstheme="minorHAnsi"/>
                <w:sz w:val="20"/>
                <w:szCs w:val="20"/>
                <w:lang w:val="en-GB"/>
              </w:rPr>
            </w:pPr>
          </w:p>
        </w:tc>
        <w:tc>
          <w:tcPr>
            <w:tcW w:w="645" w:type="dxa"/>
          </w:tcPr>
          <w:p w14:paraId="27271856">
            <w:pPr>
              <w:rPr>
                <w:rFonts w:cstheme="minorHAnsi"/>
                <w:sz w:val="20"/>
                <w:szCs w:val="20"/>
                <w:lang w:val="en-GB"/>
              </w:rPr>
            </w:pPr>
          </w:p>
        </w:tc>
        <w:tc>
          <w:tcPr>
            <w:tcW w:w="585" w:type="dxa"/>
          </w:tcPr>
          <w:p w14:paraId="7B0103DD">
            <w:pPr>
              <w:rPr>
                <w:rFonts w:cstheme="minorHAnsi"/>
                <w:sz w:val="20"/>
                <w:szCs w:val="20"/>
                <w:lang w:val="en-GB"/>
              </w:rPr>
            </w:pPr>
          </w:p>
        </w:tc>
        <w:tc>
          <w:tcPr>
            <w:tcW w:w="736" w:type="dxa"/>
          </w:tcPr>
          <w:p w14:paraId="5CFADF30">
            <w:pPr>
              <w:rPr>
                <w:rFonts w:cstheme="minorHAnsi"/>
                <w:sz w:val="20"/>
                <w:szCs w:val="20"/>
                <w:lang w:val="en-GB"/>
              </w:rPr>
            </w:pPr>
          </w:p>
        </w:tc>
        <w:tc>
          <w:tcPr>
            <w:tcW w:w="569" w:type="dxa"/>
            <w:shd w:val="clear" w:color="auto" w:fill="B4C6E7" w:themeFill="accent1" w:themeFillTint="66"/>
          </w:tcPr>
          <w:p w14:paraId="0C658B6C">
            <w:pPr>
              <w:rPr>
                <w:rFonts w:cstheme="minorHAnsi"/>
                <w:sz w:val="20"/>
                <w:szCs w:val="20"/>
                <w:lang w:val="en-GB"/>
              </w:rPr>
            </w:pPr>
          </w:p>
        </w:tc>
        <w:tc>
          <w:tcPr>
            <w:tcW w:w="553" w:type="dxa"/>
            <w:shd w:val="clear" w:color="auto" w:fill="B4C6E7" w:themeFill="accent1" w:themeFillTint="66"/>
          </w:tcPr>
          <w:p w14:paraId="31F46F5B">
            <w:pPr>
              <w:rPr>
                <w:rFonts w:cstheme="minorHAnsi"/>
                <w:sz w:val="20"/>
                <w:szCs w:val="20"/>
                <w:lang w:val="en-GB"/>
              </w:rPr>
            </w:pPr>
          </w:p>
        </w:tc>
        <w:tc>
          <w:tcPr>
            <w:tcW w:w="542" w:type="dxa"/>
          </w:tcPr>
          <w:p w14:paraId="4A2B87E5">
            <w:pPr>
              <w:rPr>
                <w:rFonts w:cstheme="minorHAnsi"/>
                <w:sz w:val="20"/>
                <w:szCs w:val="20"/>
                <w:lang w:val="en-GB"/>
              </w:rPr>
            </w:pPr>
          </w:p>
        </w:tc>
        <w:tc>
          <w:tcPr>
            <w:tcW w:w="577" w:type="dxa"/>
          </w:tcPr>
          <w:p w14:paraId="003825CB">
            <w:pPr>
              <w:rPr>
                <w:rFonts w:cstheme="minorHAnsi"/>
                <w:sz w:val="20"/>
                <w:szCs w:val="20"/>
                <w:lang w:val="en-GB"/>
              </w:rPr>
            </w:pPr>
          </w:p>
        </w:tc>
        <w:tc>
          <w:tcPr>
            <w:tcW w:w="559" w:type="dxa"/>
          </w:tcPr>
          <w:p w14:paraId="70BF9EDE">
            <w:pPr>
              <w:rPr>
                <w:rFonts w:cstheme="minorHAnsi"/>
                <w:sz w:val="20"/>
                <w:szCs w:val="20"/>
                <w:lang w:val="en-GB"/>
              </w:rPr>
            </w:pPr>
          </w:p>
        </w:tc>
        <w:tc>
          <w:tcPr>
            <w:tcW w:w="649" w:type="dxa"/>
          </w:tcPr>
          <w:p w14:paraId="5A541FC7">
            <w:pPr>
              <w:rPr>
                <w:rFonts w:cstheme="minorHAnsi"/>
                <w:sz w:val="20"/>
                <w:szCs w:val="20"/>
                <w:lang w:val="en-GB"/>
              </w:rPr>
            </w:pPr>
          </w:p>
        </w:tc>
      </w:tr>
      <w:tr w14:paraId="180BB812">
        <w:trPr>
          <w:trHeight w:val="300" w:hRule="atLeast"/>
          <w:jc w:val="center"/>
        </w:trPr>
        <w:tc>
          <w:tcPr>
            <w:tcW w:w="3900" w:type="dxa"/>
            <w:shd w:val="clear" w:color="auto" w:fill="ECECEC" w:themeFill="accent3" w:themeFillTint="33"/>
          </w:tcPr>
          <w:p w14:paraId="1057AD94">
            <w:pPr>
              <w:rPr>
                <w:rFonts w:cstheme="minorHAnsi"/>
                <w:sz w:val="20"/>
                <w:szCs w:val="20"/>
                <w:lang w:val="en-GB"/>
              </w:rPr>
            </w:pPr>
            <w:r>
              <w:rPr>
                <w:rFonts w:cstheme="minorHAnsi"/>
                <w:sz w:val="20"/>
                <w:szCs w:val="20"/>
                <w:lang w:val="en-GB"/>
              </w:rPr>
              <w:t>Project RRF, Toc &amp; TBWP for RTA/RTS review</w:t>
            </w:r>
          </w:p>
        </w:tc>
        <w:tc>
          <w:tcPr>
            <w:tcW w:w="1020" w:type="dxa"/>
            <w:vMerge w:val="continue"/>
            <w:vAlign w:val="center"/>
          </w:tcPr>
          <w:p w14:paraId="5CB78C07">
            <w:pPr>
              <w:rPr>
                <w:rFonts w:cstheme="minorHAnsi"/>
              </w:rPr>
            </w:pPr>
          </w:p>
        </w:tc>
        <w:tc>
          <w:tcPr>
            <w:tcW w:w="690" w:type="dxa"/>
          </w:tcPr>
          <w:p w14:paraId="2B81CC20">
            <w:pPr>
              <w:rPr>
                <w:rFonts w:cstheme="minorHAnsi"/>
                <w:sz w:val="20"/>
                <w:szCs w:val="20"/>
                <w:lang w:val="en-GB"/>
              </w:rPr>
            </w:pPr>
          </w:p>
        </w:tc>
        <w:tc>
          <w:tcPr>
            <w:tcW w:w="585" w:type="dxa"/>
          </w:tcPr>
          <w:p w14:paraId="32257B61">
            <w:pPr>
              <w:rPr>
                <w:rFonts w:cstheme="minorHAnsi"/>
                <w:sz w:val="20"/>
                <w:szCs w:val="20"/>
                <w:lang w:val="en-GB"/>
              </w:rPr>
            </w:pPr>
          </w:p>
        </w:tc>
        <w:tc>
          <w:tcPr>
            <w:tcW w:w="645" w:type="dxa"/>
          </w:tcPr>
          <w:p w14:paraId="762E72A6">
            <w:pPr>
              <w:rPr>
                <w:rFonts w:cstheme="minorHAnsi"/>
                <w:sz w:val="20"/>
                <w:szCs w:val="20"/>
                <w:lang w:val="en-GB"/>
              </w:rPr>
            </w:pPr>
          </w:p>
        </w:tc>
        <w:tc>
          <w:tcPr>
            <w:tcW w:w="705" w:type="dxa"/>
          </w:tcPr>
          <w:p w14:paraId="2BC19D89">
            <w:pPr>
              <w:rPr>
                <w:rFonts w:cstheme="minorHAnsi"/>
                <w:sz w:val="20"/>
                <w:szCs w:val="20"/>
                <w:lang w:val="en-GB"/>
              </w:rPr>
            </w:pPr>
          </w:p>
        </w:tc>
        <w:tc>
          <w:tcPr>
            <w:tcW w:w="645" w:type="dxa"/>
          </w:tcPr>
          <w:p w14:paraId="7C2C9E24">
            <w:pPr>
              <w:rPr>
                <w:rFonts w:cstheme="minorHAnsi"/>
                <w:sz w:val="20"/>
                <w:szCs w:val="20"/>
                <w:lang w:val="en-GB"/>
              </w:rPr>
            </w:pPr>
          </w:p>
        </w:tc>
        <w:tc>
          <w:tcPr>
            <w:tcW w:w="585" w:type="dxa"/>
          </w:tcPr>
          <w:p w14:paraId="4AA717F0">
            <w:pPr>
              <w:rPr>
                <w:rFonts w:cstheme="minorHAnsi"/>
                <w:sz w:val="20"/>
                <w:szCs w:val="20"/>
                <w:lang w:val="en-GB"/>
              </w:rPr>
            </w:pPr>
          </w:p>
        </w:tc>
        <w:tc>
          <w:tcPr>
            <w:tcW w:w="736" w:type="dxa"/>
          </w:tcPr>
          <w:p w14:paraId="7DDEB6A6">
            <w:pPr>
              <w:rPr>
                <w:rFonts w:cstheme="minorHAnsi"/>
                <w:sz w:val="20"/>
                <w:szCs w:val="20"/>
                <w:lang w:val="en-GB"/>
              </w:rPr>
            </w:pPr>
          </w:p>
        </w:tc>
        <w:tc>
          <w:tcPr>
            <w:tcW w:w="569" w:type="dxa"/>
            <w:shd w:val="clear" w:color="auto" w:fill="B4C6E7" w:themeFill="accent1" w:themeFillTint="66"/>
          </w:tcPr>
          <w:p w14:paraId="25A45B69">
            <w:pPr>
              <w:rPr>
                <w:rFonts w:cstheme="minorHAnsi"/>
                <w:sz w:val="20"/>
                <w:szCs w:val="20"/>
                <w:lang w:val="en-GB"/>
              </w:rPr>
            </w:pPr>
          </w:p>
        </w:tc>
        <w:tc>
          <w:tcPr>
            <w:tcW w:w="553" w:type="dxa"/>
            <w:shd w:val="clear" w:color="auto" w:fill="B4C6E7" w:themeFill="accent1" w:themeFillTint="66"/>
          </w:tcPr>
          <w:p w14:paraId="402400E5">
            <w:pPr>
              <w:rPr>
                <w:rFonts w:cstheme="minorHAnsi"/>
                <w:sz w:val="20"/>
                <w:szCs w:val="20"/>
                <w:lang w:val="en-GB"/>
              </w:rPr>
            </w:pPr>
          </w:p>
        </w:tc>
        <w:tc>
          <w:tcPr>
            <w:tcW w:w="542" w:type="dxa"/>
            <w:shd w:val="clear" w:color="auto" w:fill="B4C6E7" w:themeFill="accent1" w:themeFillTint="66"/>
          </w:tcPr>
          <w:p w14:paraId="57190BDB">
            <w:pPr>
              <w:rPr>
                <w:rFonts w:cstheme="minorHAnsi"/>
                <w:sz w:val="20"/>
                <w:szCs w:val="20"/>
                <w:lang w:val="en-GB"/>
              </w:rPr>
            </w:pPr>
          </w:p>
        </w:tc>
        <w:tc>
          <w:tcPr>
            <w:tcW w:w="577" w:type="dxa"/>
          </w:tcPr>
          <w:p w14:paraId="67CCD1FD">
            <w:pPr>
              <w:rPr>
                <w:rFonts w:cstheme="minorHAnsi"/>
                <w:sz w:val="20"/>
                <w:szCs w:val="20"/>
                <w:lang w:val="en-GB"/>
              </w:rPr>
            </w:pPr>
          </w:p>
        </w:tc>
        <w:tc>
          <w:tcPr>
            <w:tcW w:w="559" w:type="dxa"/>
          </w:tcPr>
          <w:p w14:paraId="295F72BF">
            <w:pPr>
              <w:rPr>
                <w:rFonts w:cstheme="minorHAnsi"/>
                <w:sz w:val="20"/>
                <w:szCs w:val="20"/>
                <w:lang w:val="en-GB"/>
              </w:rPr>
            </w:pPr>
          </w:p>
        </w:tc>
        <w:tc>
          <w:tcPr>
            <w:tcW w:w="649" w:type="dxa"/>
          </w:tcPr>
          <w:p w14:paraId="28D37F2B">
            <w:pPr>
              <w:rPr>
                <w:rFonts w:cstheme="minorHAnsi"/>
                <w:sz w:val="20"/>
                <w:szCs w:val="20"/>
                <w:lang w:val="en-GB"/>
              </w:rPr>
            </w:pPr>
          </w:p>
        </w:tc>
      </w:tr>
      <w:tr w14:paraId="3FA7DA82">
        <w:trPr>
          <w:trHeight w:val="300" w:hRule="atLeast"/>
          <w:jc w:val="center"/>
        </w:trPr>
        <w:tc>
          <w:tcPr>
            <w:tcW w:w="3900" w:type="dxa"/>
            <w:shd w:val="clear" w:color="auto" w:fill="ECECEC" w:themeFill="accent3" w:themeFillTint="33"/>
          </w:tcPr>
          <w:p w14:paraId="1C8D91A0">
            <w:pPr>
              <w:rPr>
                <w:rFonts w:cstheme="minorHAnsi"/>
                <w:sz w:val="20"/>
                <w:szCs w:val="20"/>
                <w:lang w:val="en-GB"/>
              </w:rPr>
            </w:pPr>
            <w:r>
              <w:rPr>
                <w:rFonts w:cstheme="minorHAnsi"/>
                <w:sz w:val="20"/>
                <w:szCs w:val="20"/>
                <w:lang w:val="en-GB"/>
              </w:rPr>
              <w:t>Project RRF, Toc &amp; TBWP for HQ internal review</w:t>
            </w:r>
          </w:p>
        </w:tc>
        <w:tc>
          <w:tcPr>
            <w:tcW w:w="1020" w:type="dxa"/>
            <w:vMerge w:val="continue"/>
            <w:vAlign w:val="center"/>
          </w:tcPr>
          <w:p w14:paraId="261C9BD0">
            <w:pPr>
              <w:rPr>
                <w:rFonts w:cstheme="minorHAnsi"/>
              </w:rPr>
            </w:pPr>
          </w:p>
        </w:tc>
        <w:tc>
          <w:tcPr>
            <w:tcW w:w="690" w:type="dxa"/>
          </w:tcPr>
          <w:p w14:paraId="6993B057">
            <w:pPr>
              <w:rPr>
                <w:rFonts w:cstheme="minorHAnsi"/>
                <w:sz w:val="20"/>
                <w:szCs w:val="20"/>
                <w:lang w:val="en-GB"/>
              </w:rPr>
            </w:pPr>
          </w:p>
        </w:tc>
        <w:tc>
          <w:tcPr>
            <w:tcW w:w="585" w:type="dxa"/>
          </w:tcPr>
          <w:p w14:paraId="399771ED">
            <w:pPr>
              <w:rPr>
                <w:rFonts w:cstheme="minorHAnsi"/>
                <w:sz w:val="20"/>
                <w:szCs w:val="20"/>
                <w:lang w:val="en-GB"/>
              </w:rPr>
            </w:pPr>
          </w:p>
        </w:tc>
        <w:tc>
          <w:tcPr>
            <w:tcW w:w="645" w:type="dxa"/>
          </w:tcPr>
          <w:p w14:paraId="2822650B">
            <w:pPr>
              <w:rPr>
                <w:rFonts w:cstheme="minorHAnsi"/>
                <w:sz w:val="20"/>
                <w:szCs w:val="20"/>
                <w:lang w:val="en-GB"/>
              </w:rPr>
            </w:pPr>
          </w:p>
        </w:tc>
        <w:tc>
          <w:tcPr>
            <w:tcW w:w="705" w:type="dxa"/>
          </w:tcPr>
          <w:p w14:paraId="5E12B014">
            <w:pPr>
              <w:rPr>
                <w:rFonts w:cstheme="minorHAnsi"/>
                <w:sz w:val="20"/>
                <w:szCs w:val="20"/>
                <w:lang w:val="en-GB"/>
              </w:rPr>
            </w:pPr>
          </w:p>
        </w:tc>
        <w:tc>
          <w:tcPr>
            <w:tcW w:w="645" w:type="dxa"/>
          </w:tcPr>
          <w:p w14:paraId="50BC00C7">
            <w:pPr>
              <w:rPr>
                <w:rFonts w:cstheme="minorHAnsi"/>
                <w:sz w:val="20"/>
                <w:szCs w:val="20"/>
                <w:lang w:val="en-GB"/>
              </w:rPr>
            </w:pPr>
          </w:p>
        </w:tc>
        <w:tc>
          <w:tcPr>
            <w:tcW w:w="585" w:type="dxa"/>
          </w:tcPr>
          <w:p w14:paraId="2D7B49C0">
            <w:pPr>
              <w:rPr>
                <w:rFonts w:cstheme="minorHAnsi"/>
                <w:sz w:val="20"/>
                <w:szCs w:val="20"/>
                <w:lang w:val="en-GB"/>
              </w:rPr>
            </w:pPr>
          </w:p>
        </w:tc>
        <w:tc>
          <w:tcPr>
            <w:tcW w:w="736" w:type="dxa"/>
          </w:tcPr>
          <w:p w14:paraId="7039BE60">
            <w:pPr>
              <w:rPr>
                <w:rFonts w:cstheme="minorHAnsi"/>
                <w:sz w:val="20"/>
                <w:szCs w:val="20"/>
                <w:lang w:val="en-GB"/>
              </w:rPr>
            </w:pPr>
          </w:p>
        </w:tc>
        <w:tc>
          <w:tcPr>
            <w:tcW w:w="569" w:type="dxa"/>
          </w:tcPr>
          <w:p w14:paraId="411F30CA">
            <w:pPr>
              <w:rPr>
                <w:rFonts w:cstheme="minorHAnsi"/>
                <w:sz w:val="20"/>
                <w:szCs w:val="20"/>
                <w:lang w:val="en-GB"/>
              </w:rPr>
            </w:pPr>
          </w:p>
        </w:tc>
        <w:tc>
          <w:tcPr>
            <w:tcW w:w="553" w:type="dxa"/>
            <w:shd w:val="clear" w:color="auto" w:fill="B4C6E7" w:themeFill="accent1" w:themeFillTint="66"/>
          </w:tcPr>
          <w:p w14:paraId="2957701C">
            <w:pPr>
              <w:rPr>
                <w:rFonts w:cstheme="minorHAnsi"/>
                <w:sz w:val="20"/>
                <w:szCs w:val="20"/>
                <w:lang w:val="en-GB"/>
              </w:rPr>
            </w:pPr>
          </w:p>
        </w:tc>
        <w:tc>
          <w:tcPr>
            <w:tcW w:w="542" w:type="dxa"/>
            <w:shd w:val="clear" w:color="auto" w:fill="B4C6E7" w:themeFill="accent1" w:themeFillTint="66"/>
          </w:tcPr>
          <w:p w14:paraId="52468501">
            <w:pPr>
              <w:rPr>
                <w:rFonts w:cstheme="minorHAnsi"/>
                <w:sz w:val="20"/>
                <w:szCs w:val="20"/>
                <w:lang w:val="en-GB"/>
              </w:rPr>
            </w:pPr>
          </w:p>
        </w:tc>
        <w:tc>
          <w:tcPr>
            <w:tcW w:w="577" w:type="dxa"/>
          </w:tcPr>
          <w:p w14:paraId="027AC494">
            <w:pPr>
              <w:rPr>
                <w:rFonts w:cstheme="minorHAnsi"/>
                <w:sz w:val="20"/>
                <w:szCs w:val="20"/>
                <w:lang w:val="en-GB"/>
              </w:rPr>
            </w:pPr>
          </w:p>
        </w:tc>
        <w:tc>
          <w:tcPr>
            <w:tcW w:w="559" w:type="dxa"/>
          </w:tcPr>
          <w:p w14:paraId="2EFA25C9">
            <w:pPr>
              <w:rPr>
                <w:rFonts w:cstheme="minorHAnsi"/>
                <w:sz w:val="20"/>
                <w:szCs w:val="20"/>
                <w:lang w:val="en-GB"/>
              </w:rPr>
            </w:pPr>
          </w:p>
        </w:tc>
        <w:tc>
          <w:tcPr>
            <w:tcW w:w="649" w:type="dxa"/>
          </w:tcPr>
          <w:p w14:paraId="0DFED5DB">
            <w:pPr>
              <w:rPr>
                <w:rFonts w:cstheme="minorHAnsi"/>
                <w:sz w:val="20"/>
                <w:szCs w:val="20"/>
                <w:lang w:val="en-GB"/>
              </w:rPr>
            </w:pPr>
          </w:p>
        </w:tc>
      </w:tr>
      <w:tr w14:paraId="3A3EE725">
        <w:trPr>
          <w:trHeight w:val="300" w:hRule="atLeast"/>
          <w:jc w:val="center"/>
        </w:trPr>
        <w:tc>
          <w:tcPr>
            <w:tcW w:w="3900" w:type="dxa"/>
            <w:tcBorders>
              <w:top w:val="single" w:color="auto" w:sz="4" w:space="0"/>
              <w:left w:val="single" w:color="auto" w:sz="4" w:space="0"/>
              <w:bottom w:val="single" w:color="auto" w:sz="4" w:space="0"/>
              <w:right w:val="single" w:color="auto" w:sz="4" w:space="0"/>
            </w:tcBorders>
            <w:shd w:val="clear" w:color="auto" w:fill="ECECEC" w:themeFill="accent3" w:themeFillTint="33"/>
          </w:tcPr>
          <w:p w14:paraId="0AFA8A08">
            <w:pPr>
              <w:rPr>
                <w:rFonts w:cstheme="minorHAnsi"/>
                <w:sz w:val="20"/>
                <w:szCs w:val="20"/>
                <w:lang w:val="en-GB"/>
              </w:rPr>
            </w:pPr>
            <w:r>
              <w:rPr>
                <w:rFonts w:cstheme="minorHAnsi"/>
                <w:b/>
                <w:bCs/>
                <w:sz w:val="20"/>
                <w:szCs w:val="20"/>
                <w:lang w:val="en-GB"/>
              </w:rPr>
              <w:t>Component C:</w:t>
            </w:r>
            <w:r>
              <w:rPr>
                <w:rFonts w:cstheme="minorHAnsi"/>
                <w:sz w:val="20"/>
                <w:szCs w:val="20"/>
                <w:lang w:val="en-GB"/>
              </w:rPr>
              <w:t xml:space="preserve"> Validation Workshop and Report</w:t>
            </w:r>
          </w:p>
        </w:tc>
        <w:tc>
          <w:tcPr>
            <w:tcW w:w="1020" w:type="dxa"/>
            <w:vMerge w:val="restart"/>
            <w:tcBorders>
              <w:top w:val="single" w:color="auto" w:sz="4" w:space="0"/>
              <w:left w:val="single" w:color="auto" w:sz="4" w:space="0"/>
              <w:bottom w:val="single" w:color="auto" w:sz="4" w:space="0"/>
              <w:right w:val="single" w:color="auto" w:sz="4" w:space="0"/>
            </w:tcBorders>
            <w:shd w:val="clear" w:color="auto" w:fill="ECECEC" w:themeFill="accent3" w:themeFillTint="33"/>
            <w:vAlign w:val="center"/>
          </w:tcPr>
          <w:p w14:paraId="6451F766">
            <w:pPr>
              <w:jc w:val="center"/>
              <w:rPr>
                <w:rFonts w:cstheme="minorHAnsi"/>
                <w:b/>
                <w:bCs/>
                <w:sz w:val="20"/>
                <w:szCs w:val="20"/>
                <w:lang w:val="en-GB"/>
              </w:rPr>
            </w:pPr>
            <w:r>
              <w:rPr>
                <w:rFonts w:cstheme="minorHAnsi"/>
                <w:b/>
                <w:bCs/>
                <w:sz w:val="20"/>
                <w:szCs w:val="20"/>
                <w:lang w:val="en-GB"/>
              </w:rPr>
              <w:t>35,600</w:t>
            </w:r>
          </w:p>
        </w:tc>
        <w:tc>
          <w:tcPr>
            <w:tcW w:w="690" w:type="dxa"/>
            <w:tcBorders>
              <w:top w:val="single" w:color="auto" w:sz="4" w:space="0"/>
              <w:left w:val="single" w:color="auto" w:sz="4" w:space="0"/>
              <w:bottom w:val="single" w:color="auto" w:sz="4" w:space="0"/>
              <w:right w:val="single" w:color="auto" w:sz="4" w:space="0"/>
            </w:tcBorders>
          </w:tcPr>
          <w:p w14:paraId="6A301222">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237191AE">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61258AC1">
            <w:pPr>
              <w:rPr>
                <w:rFonts w:cstheme="minorHAnsi"/>
                <w:sz w:val="20"/>
                <w:szCs w:val="20"/>
                <w:lang w:val="en-GB"/>
              </w:rPr>
            </w:pPr>
          </w:p>
        </w:tc>
        <w:tc>
          <w:tcPr>
            <w:tcW w:w="705" w:type="dxa"/>
            <w:tcBorders>
              <w:top w:val="single" w:color="auto" w:sz="4" w:space="0"/>
              <w:left w:val="single" w:color="auto" w:sz="4" w:space="0"/>
              <w:bottom w:val="single" w:color="auto" w:sz="4" w:space="0"/>
              <w:right w:val="single" w:color="auto" w:sz="4" w:space="0"/>
            </w:tcBorders>
          </w:tcPr>
          <w:p w14:paraId="1B5828F9">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1653F56E">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639E6364">
            <w:pPr>
              <w:rPr>
                <w:rFonts w:cstheme="minorHAnsi"/>
                <w:sz w:val="20"/>
                <w:szCs w:val="20"/>
                <w:lang w:val="en-GB"/>
              </w:rPr>
            </w:pPr>
          </w:p>
        </w:tc>
        <w:tc>
          <w:tcPr>
            <w:tcW w:w="736" w:type="dxa"/>
            <w:tcBorders>
              <w:top w:val="single" w:color="auto" w:sz="4" w:space="0"/>
              <w:left w:val="single" w:color="auto" w:sz="4" w:space="0"/>
              <w:bottom w:val="single" w:color="auto" w:sz="4" w:space="0"/>
              <w:right w:val="single" w:color="auto" w:sz="4" w:space="0"/>
            </w:tcBorders>
          </w:tcPr>
          <w:p w14:paraId="761D9144">
            <w:pPr>
              <w:rPr>
                <w:rFonts w:cstheme="minorHAnsi"/>
                <w:sz w:val="20"/>
                <w:szCs w:val="20"/>
                <w:lang w:val="en-GB"/>
              </w:rPr>
            </w:pPr>
          </w:p>
        </w:tc>
        <w:tc>
          <w:tcPr>
            <w:tcW w:w="569" w:type="dxa"/>
            <w:tcBorders>
              <w:top w:val="single" w:color="auto" w:sz="4" w:space="0"/>
              <w:left w:val="single" w:color="auto" w:sz="4" w:space="0"/>
              <w:bottom w:val="single" w:color="auto" w:sz="4" w:space="0"/>
              <w:right w:val="single" w:color="auto" w:sz="4" w:space="0"/>
            </w:tcBorders>
          </w:tcPr>
          <w:p w14:paraId="0495D433">
            <w:pPr>
              <w:rPr>
                <w:rFonts w:cstheme="minorHAnsi"/>
                <w:sz w:val="20"/>
                <w:szCs w:val="20"/>
                <w:lang w:val="en-GB"/>
              </w:rPr>
            </w:pPr>
          </w:p>
        </w:tc>
        <w:tc>
          <w:tcPr>
            <w:tcW w:w="553" w:type="dxa"/>
            <w:tcBorders>
              <w:top w:val="single" w:color="auto" w:sz="4" w:space="0"/>
              <w:left w:val="single" w:color="auto" w:sz="4" w:space="0"/>
              <w:bottom w:val="single" w:color="auto" w:sz="4" w:space="0"/>
              <w:right w:val="single" w:color="auto" w:sz="4" w:space="0"/>
            </w:tcBorders>
          </w:tcPr>
          <w:p w14:paraId="051E9677">
            <w:pPr>
              <w:rPr>
                <w:rFonts w:cstheme="minorHAnsi"/>
                <w:sz w:val="20"/>
                <w:szCs w:val="20"/>
                <w:lang w:val="en-GB"/>
              </w:rPr>
            </w:pPr>
          </w:p>
        </w:tc>
        <w:tc>
          <w:tcPr>
            <w:tcW w:w="542" w:type="dxa"/>
            <w:tcBorders>
              <w:top w:val="single" w:color="auto" w:sz="4" w:space="0"/>
              <w:left w:val="single" w:color="auto" w:sz="4" w:space="0"/>
              <w:bottom w:val="single" w:color="auto" w:sz="4" w:space="0"/>
              <w:right w:val="single" w:color="auto" w:sz="4" w:space="0"/>
            </w:tcBorders>
          </w:tcPr>
          <w:p w14:paraId="4894ABA9">
            <w:pPr>
              <w:rPr>
                <w:rFonts w:cstheme="minorHAnsi"/>
                <w:sz w:val="20"/>
                <w:szCs w:val="20"/>
                <w:lang w:val="en-GB"/>
              </w:rPr>
            </w:pPr>
          </w:p>
        </w:tc>
        <w:tc>
          <w:tcPr>
            <w:tcW w:w="577"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6AB6F588">
            <w:pPr>
              <w:rPr>
                <w:rFonts w:cstheme="minorHAnsi"/>
                <w:sz w:val="20"/>
                <w:szCs w:val="20"/>
                <w:lang w:val="en-GB"/>
              </w:rPr>
            </w:pPr>
          </w:p>
        </w:tc>
        <w:tc>
          <w:tcPr>
            <w:tcW w:w="559" w:type="dxa"/>
            <w:tcBorders>
              <w:top w:val="single" w:color="auto" w:sz="4" w:space="0"/>
              <w:left w:val="single" w:color="auto" w:sz="4" w:space="0"/>
              <w:bottom w:val="single" w:color="auto" w:sz="4" w:space="0"/>
              <w:right w:val="single" w:color="auto" w:sz="4" w:space="0"/>
            </w:tcBorders>
          </w:tcPr>
          <w:p w14:paraId="2938353B">
            <w:pPr>
              <w:rPr>
                <w:rFonts w:cstheme="minorHAnsi"/>
                <w:sz w:val="20"/>
                <w:szCs w:val="20"/>
                <w:lang w:val="en-GB"/>
              </w:rPr>
            </w:pPr>
          </w:p>
        </w:tc>
        <w:tc>
          <w:tcPr>
            <w:tcW w:w="649" w:type="dxa"/>
            <w:tcBorders>
              <w:top w:val="single" w:color="auto" w:sz="4" w:space="0"/>
              <w:left w:val="single" w:color="auto" w:sz="4" w:space="0"/>
              <w:bottom w:val="single" w:color="auto" w:sz="4" w:space="0"/>
              <w:right w:val="single" w:color="auto" w:sz="4" w:space="0"/>
            </w:tcBorders>
          </w:tcPr>
          <w:p w14:paraId="3BEDE726">
            <w:pPr>
              <w:rPr>
                <w:rFonts w:cstheme="minorHAnsi"/>
                <w:sz w:val="20"/>
                <w:szCs w:val="20"/>
                <w:lang w:val="en-GB"/>
              </w:rPr>
            </w:pPr>
          </w:p>
        </w:tc>
      </w:tr>
      <w:tr w14:paraId="6E7FA923">
        <w:trPr>
          <w:trHeight w:val="300" w:hRule="atLeast"/>
          <w:jc w:val="center"/>
        </w:trPr>
        <w:tc>
          <w:tcPr>
            <w:tcW w:w="3900" w:type="dxa"/>
            <w:tcBorders>
              <w:top w:val="single" w:color="auto" w:sz="4" w:space="0"/>
              <w:left w:val="single" w:color="auto" w:sz="4" w:space="0"/>
              <w:bottom w:val="single" w:color="auto" w:sz="4" w:space="0"/>
              <w:right w:val="single" w:color="auto" w:sz="4" w:space="0"/>
            </w:tcBorders>
            <w:shd w:val="clear" w:color="auto" w:fill="ECECEC" w:themeFill="accent3" w:themeFillTint="33"/>
          </w:tcPr>
          <w:p w14:paraId="35232847">
            <w:pPr>
              <w:rPr>
                <w:rFonts w:cstheme="minorHAnsi"/>
                <w:sz w:val="20"/>
                <w:szCs w:val="20"/>
                <w:lang w:val="en-GB"/>
              </w:rPr>
            </w:pPr>
            <w:r>
              <w:rPr>
                <w:rFonts w:cstheme="minorHAnsi"/>
                <w:sz w:val="20"/>
                <w:szCs w:val="20"/>
                <w:lang w:val="en-GB"/>
              </w:rPr>
              <w:t>Inception Workshop (as part of Component C)</w:t>
            </w:r>
          </w:p>
        </w:tc>
        <w:tc>
          <w:tcPr>
            <w:tcW w:w="1020" w:type="dxa"/>
            <w:vMerge w:val="continue"/>
            <w:vAlign w:val="center"/>
          </w:tcPr>
          <w:p w14:paraId="1F289358">
            <w:pPr>
              <w:rPr>
                <w:rFonts w:cstheme="minorHAnsi"/>
              </w:rPr>
            </w:pPr>
          </w:p>
        </w:tc>
        <w:tc>
          <w:tcPr>
            <w:tcW w:w="690" w:type="dxa"/>
            <w:tcBorders>
              <w:top w:val="single" w:color="auto" w:sz="4" w:space="0"/>
              <w:left w:val="single" w:color="auto" w:sz="4" w:space="0"/>
              <w:bottom w:val="single" w:color="auto" w:sz="4" w:space="0"/>
              <w:right w:val="single" w:color="auto" w:sz="4" w:space="0"/>
            </w:tcBorders>
          </w:tcPr>
          <w:p w14:paraId="47F3436B">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2FCB7D9D">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497BB78B">
            <w:pPr>
              <w:rPr>
                <w:rFonts w:cstheme="minorHAnsi"/>
                <w:sz w:val="20"/>
                <w:szCs w:val="20"/>
                <w:lang w:val="en-GB"/>
              </w:rPr>
            </w:pPr>
          </w:p>
        </w:tc>
        <w:tc>
          <w:tcPr>
            <w:tcW w:w="705" w:type="dxa"/>
            <w:tcBorders>
              <w:top w:val="single" w:color="auto" w:sz="4" w:space="0"/>
              <w:left w:val="single" w:color="auto" w:sz="4" w:space="0"/>
              <w:bottom w:val="single" w:color="auto" w:sz="4" w:space="0"/>
              <w:right w:val="single" w:color="auto" w:sz="4" w:space="0"/>
            </w:tcBorders>
          </w:tcPr>
          <w:p w14:paraId="312BFA04">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4ADA15FE">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07276625">
            <w:pPr>
              <w:rPr>
                <w:rFonts w:cstheme="minorHAnsi"/>
                <w:sz w:val="20"/>
                <w:szCs w:val="20"/>
                <w:lang w:val="en-GB"/>
              </w:rPr>
            </w:pPr>
          </w:p>
        </w:tc>
        <w:tc>
          <w:tcPr>
            <w:tcW w:w="736" w:type="dxa"/>
            <w:tcBorders>
              <w:top w:val="single" w:color="auto" w:sz="4" w:space="0"/>
              <w:left w:val="single" w:color="auto" w:sz="4" w:space="0"/>
              <w:bottom w:val="single" w:color="auto" w:sz="4" w:space="0"/>
              <w:right w:val="single" w:color="auto" w:sz="4" w:space="0"/>
            </w:tcBorders>
          </w:tcPr>
          <w:p w14:paraId="1A04DDCD">
            <w:pPr>
              <w:rPr>
                <w:rFonts w:cstheme="minorHAnsi"/>
                <w:sz w:val="20"/>
                <w:szCs w:val="20"/>
                <w:lang w:val="en-GB"/>
              </w:rPr>
            </w:pPr>
          </w:p>
        </w:tc>
        <w:tc>
          <w:tcPr>
            <w:tcW w:w="569" w:type="dxa"/>
            <w:tcBorders>
              <w:top w:val="single" w:color="auto" w:sz="4" w:space="0"/>
              <w:left w:val="single" w:color="auto" w:sz="4" w:space="0"/>
              <w:bottom w:val="single" w:color="auto" w:sz="4" w:space="0"/>
              <w:right w:val="single" w:color="auto" w:sz="4" w:space="0"/>
            </w:tcBorders>
          </w:tcPr>
          <w:p w14:paraId="66B8B61D">
            <w:pPr>
              <w:rPr>
                <w:rFonts w:cstheme="minorHAnsi"/>
                <w:sz w:val="20"/>
                <w:szCs w:val="20"/>
                <w:lang w:val="en-GB"/>
              </w:rPr>
            </w:pPr>
          </w:p>
        </w:tc>
        <w:tc>
          <w:tcPr>
            <w:tcW w:w="553" w:type="dxa"/>
            <w:tcBorders>
              <w:top w:val="single" w:color="auto" w:sz="4" w:space="0"/>
              <w:left w:val="single" w:color="auto" w:sz="4" w:space="0"/>
              <w:bottom w:val="single" w:color="auto" w:sz="4" w:space="0"/>
              <w:right w:val="single" w:color="auto" w:sz="4" w:space="0"/>
            </w:tcBorders>
          </w:tcPr>
          <w:p w14:paraId="62DC973E">
            <w:pPr>
              <w:rPr>
                <w:rFonts w:cstheme="minorHAnsi"/>
                <w:sz w:val="20"/>
                <w:szCs w:val="20"/>
                <w:lang w:val="en-GB"/>
              </w:rPr>
            </w:pPr>
          </w:p>
        </w:tc>
        <w:tc>
          <w:tcPr>
            <w:tcW w:w="542" w:type="dxa"/>
            <w:tcBorders>
              <w:top w:val="single" w:color="auto" w:sz="4" w:space="0"/>
              <w:left w:val="single" w:color="auto" w:sz="4" w:space="0"/>
              <w:bottom w:val="single" w:color="auto" w:sz="4" w:space="0"/>
              <w:right w:val="single" w:color="auto" w:sz="4" w:space="0"/>
            </w:tcBorders>
          </w:tcPr>
          <w:p w14:paraId="3AE32A29">
            <w:pPr>
              <w:rPr>
                <w:rFonts w:cstheme="minorHAnsi"/>
                <w:sz w:val="20"/>
                <w:szCs w:val="20"/>
                <w:lang w:val="en-GB"/>
              </w:rPr>
            </w:pPr>
          </w:p>
        </w:tc>
        <w:tc>
          <w:tcPr>
            <w:tcW w:w="577" w:type="dxa"/>
            <w:tcBorders>
              <w:top w:val="single" w:color="auto" w:sz="4" w:space="0"/>
              <w:left w:val="single" w:color="auto" w:sz="4" w:space="0"/>
              <w:bottom w:val="single" w:color="auto" w:sz="4" w:space="0"/>
              <w:right w:val="single" w:color="auto" w:sz="4" w:space="0"/>
            </w:tcBorders>
          </w:tcPr>
          <w:p w14:paraId="5E651DB1">
            <w:pPr>
              <w:rPr>
                <w:rFonts w:cstheme="minorHAnsi"/>
                <w:sz w:val="20"/>
                <w:szCs w:val="20"/>
                <w:lang w:val="en-GB"/>
              </w:rPr>
            </w:pPr>
          </w:p>
        </w:tc>
        <w:tc>
          <w:tcPr>
            <w:tcW w:w="559" w:type="dxa"/>
            <w:tcBorders>
              <w:top w:val="single" w:color="auto" w:sz="4" w:space="0"/>
              <w:left w:val="single" w:color="auto" w:sz="4" w:space="0"/>
              <w:bottom w:val="single" w:color="auto" w:sz="4" w:space="0"/>
              <w:right w:val="single" w:color="auto" w:sz="4" w:space="0"/>
            </w:tcBorders>
          </w:tcPr>
          <w:p w14:paraId="25D05FA5">
            <w:pPr>
              <w:rPr>
                <w:rFonts w:cstheme="minorHAnsi"/>
                <w:sz w:val="20"/>
                <w:szCs w:val="20"/>
                <w:lang w:val="en-GB"/>
              </w:rPr>
            </w:pPr>
          </w:p>
        </w:tc>
        <w:tc>
          <w:tcPr>
            <w:tcW w:w="649" w:type="dxa"/>
            <w:tcBorders>
              <w:top w:val="single" w:color="auto" w:sz="4" w:space="0"/>
              <w:left w:val="single" w:color="auto" w:sz="4" w:space="0"/>
              <w:bottom w:val="single" w:color="auto" w:sz="4" w:space="0"/>
              <w:right w:val="single" w:color="auto" w:sz="4" w:space="0"/>
            </w:tcBorders>
          </w:tcPr>
          <w:p w14:paraId="414616D9">
            <w:pPr>
              <w:rPr>
                <w:rFonts w:cstheme="minorHAnsi"/>
                <w:sz w:val="20"/>
                <w:szCs w:val="20"/>
                <w:lang w:val="en-GB"/>
              </w:rPr>
            </w:pPr>
          </w:p>
        </w:tc>
      </w:tr>
      <w:tr w14:paraId="6B84A663">
        <w:trPr>
          <w:trHeight w:val="300" w:hRule="atLeast"/>
          <w:jc w:val="center"/>
        </w:trPr>
        <w:tc>
          <w:tcPr>
            <w:tcW w:w="3900" w:type="dxa"/>
            <w:tcBorders>
              <w:top w:val="single" w:color="auto" w:sz="4" w:space="0"/>
              <w:left w:val="single" w:color="auto" w:sz="4" w:space="0"/>
              <w:bottom w:val="single" w:color="auto" w:sz="4" w:space="0"/>
              <w:right w:val="single" w:color="auto" w:sz="4" w:space="0"/>
            </w:tcBorders>
            <w:shd w:val="clear" w:color="auto" w:fill="ECECEC" w:themeFill="accent3" w:themeFillTint="33"/>
          </w:tcPr>
          <w:p w14:paraId="5D37FE1B">
            <w:pPr>
              <w:rPr>
                <w:rFonts w:cstheme="minorHAnsi"/>
                <w:b/>
                <w:sz w:val="20"/>
                <w:szCs w:val="20"/>
                <w:lang w:val="en-GB"/>
              </w:rPr>
            </w:pPr>
            <w:r>
              <w:rPr>
                <w:rFonts w:cstheme="minorHAnsi"/>
                <w:b/>
                <w:bCs/>
                <w:sz w:val="20"/>
                <w:szCs w:val="20"/>
                <w:lang w:val="en-GB"/>
              </w:rPr>
              <w:t>Delivery of final outputs</w:t>
            </w:r>
          </w:p>
        </w:tc>
        <w:tc>
          <w:tcPr>
            <w:tcW w:w="1020" w:type="dxa"/>
            <w:vMerge w:val="restart"/>
            <w:tcBorders>
              <w:top w:val="single" w:color="auto" w:sz="4" w:space="0"/>
              <w:left w:val="single" w:color="auto" w:sz="4" w:space="0"/>
              <w:bottom w:val="single" w:color="auto" w:sz="4" w:space="0"/>
              <w:right w:val="single" w:color="auto" w:sz="4" w:space="0"/>
            </w:tcBorders>
            <w:shd w:val="clear" w:color="auto" w:fill="ECECEC" w:themeFill="accent3" w:themeFillTint="33"/>
            <w:vAlign w:val="center"/>
          </w:tcPr>
          <w:p w14:paraId="7683D862">
            <w:pPr>
              <w:jc w:val="center"/>
              <w:rPr>
                <w:rFonts w:cstheme="minorHAnsi"/>
                <w:b/>
                <w:bCs/>
                <w:sz w:val="20"/>
                <w:szCs w:val="20"/>
                <w:lang w:val="en-GB"/>
              </w:rPr>
            </w:pPr>
            <w:r>
              <w:rPr>
                <w:rFonts w:cstheme="minorHAnsi"/>
                <w:b/>
                <w:bCs/>
                <w:sz w:val="20"/>
                <w:szCs w:val="20"/>
                <w:lang w:val="en-GB"/>
              </w:rPr>
              <w:t>-</w:t>
            </w:r>
          </w:p>
        </w:tc>
        <w:tc>
          <w:tcPr>
            <w:tcW w:w="690" w:type="dxa"/>
            <w:tcBorders>
              <w:top w:val="single" w:color="auto" w:sz="4" w:space="0"/>
              <w:left w:val="single" w:color="auto" w:sz="4" w:space="0"/>
              <w:bottom w:val="single" w:color="auto" w:sz="4" w:space="0"/>
              <w:right w:val="single" w:color="auto" w:sz="4" w:space="0"/>
            </w:tcBorders>
          </w:tcPr>
          <w:p w14:paraId="3B9491B8">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530ECAB8">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17835019">
            <w:pPr>
              <w:rPr>
                <w:rFonts w:cstheme="minorHAnsi"/>
                <w:sz w:val="20"/>
                <w:szCs w:val="20"/>
                <w:lang w:val="en-GB"/>
              </w:rPr>
            </w:pPr>
          </w:p>
        </w:tc>
        <w:tc>
          <w:tcPr>
            <w:tcW w:w="705" w:type="dxa"/>
            <w:tcBorders>
              <w:top w:val="single" w:color="auto" w:sz="4" w:space="0"/>
              <w:left w:val="single" w:color="auto" w:sz="4" w:space="0"/>
              <w:bottom w:val="single" w:color="auto" w:sz="4" w:space="0"/>
              <w:right w:val="single" w:color="auto" w:sz="4" w:space="0"/>
            </w:tcBorders>
          </w:tcPr>
          <w:p w14:paraId="022B3EB6">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60EEA0FC">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6CDF7129">
            <w:pPr>
              <w:rPr>
                <w:rFonts w:cstheme="minorHAnsi"/>
                <w:sz w:val="20"/>
                <w:szCs w:val="20"/>
                <w:lang w:val="en-GB"/>
              </w:rPr>
            </w:pPr>
          </w:p>
        </w:tc>
        <w:tc>
          <w:tcPr>
            <w:tcW w:w="736" w:type="dxa"/>
            <w:tcBorders>
              <w:top w:val="single" w:color="auto" w:sz="4" w:space="0"/>
              <w:left w:val="single" w:color="auto" w:sz="4" w:space="0"/>
              <w:bottom w:val="single" w:color="auto" w:sz="4" w:space="0"/>
              <w:right w:val="single" w:color="auto" w:sz="4" w:space="0"/>
            </w:tcBorders>
          </w:tcPr>
          <w:p w14:paraId="5DB2B784">
            <w:pPr>
              <w:rPr>
                <w:rFonts w:cstheme="minorHAnsi"/>
                <w:sz w:val="20"/>
                <w:szCs w:val="20"/>
                <w:lang w:val="en-GB"/>
              </w:rPr>
            </w:pPr>
          </w:p>
        </w:tc>
        <w:tc>
          <w:tcPr>
            <w:tcW w:w="569" w:type="dxa"/>
            <w:tcBorders>
              <w:top w:val="single" w:color="auto" w:sz="4" w:space="0"/>
              <w:left w:val="single" w:color="auto" w:sz="4" w:space="0"/>
              <w:bottom w:val="single" w:color="auto" w:sz="4" w:space="0"/>
              <w:right w:val="single" w:color="auto" w:sz="4" w:space="0"/>
            </w:tcBorders>
          </w:tcPr>
          <w:p w14:paraId="2A1E1A40">
            <w:pPr>
              <w:rPr>
                <w:rFonts w:cstheme="minorHAnsi"/>
                <w:sz w:val="20"/>
                <w:szCs w:val="20"/>
                <w:lang w:val="en-GB"/>
              </w:rPr>
            </w:pPr>
          </w:p>
        </w:tc>
        <w:tc>
          <w:tcPr>
            <w:tcW w:w="553" w:type="dxa"/>
            <w:tcBorders>
              <w:top w:val="single" w:color="auto" w:sz="4" w:space="0"/>
              <w:left w:val="single" w:color="auto" w:sz="4" w:space="0"/>
              <w:bottom w:val="single" w:color="auto" w:sz="4" w:space="0"/>
              <w:right w:val="single" w:color="auto" w:sz="4" w:space="0"/>
            </w:tcBorders>
          </w:tcPr>
          <w:p w14:paraId="72CB0DC2">
            <w:pPr>
              <w:rPr>
                <w:rFonts w:cstheme="minorHAnsi"/>
                <w:sz w:val="20"/>
                <w:szCs w:val="20"/>
                <w:lang w:val="en-GB"/>
              </w:rPr>
            </w:pPr>
          </w:p>
        </w:tc>
        <w:tc>
          <w:tcPr>
            <w:tcW w:w="542"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1B653F32">
            <w:pPr>
              <w:rPr>
                <w:rFonts w:cstheme="minorHAnsi"/>
                <w:sz w:val="20"/>
                <w:szCs w:val="20"/>
                <w:lang w:val="en-GB"/>
              </w:rPr>
            </w:pPr>
          </w:p>
        </w:tc>
        <w:tc>
          <w:tcPr>
            <w:tcW w:w="577"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56699C20">
            <w:pPr>
              <w:rPr>
                <w:rFonts w:cstheme="minorHAnsi"/>
                <w:sz w:val="20"/>
                <w:szCs w:val="20"/>
                <w:lang w:val="en-GB"/>
              </w:rPr>
            </w:pPr>
          </w:p>
        </w:tc>
        <w:tc>
          <w:tcPr>
            <w:tcW w:w="559"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0428F4B7">
            <w:pPr>
              <w:rPr>
                <w:rFonts w:cstheme="minorHAnsi"/>
                <w:sz w:val="20"/>
                <w:szCs w:val="20"/>
                <w:lang w:val="en-GB"/>
              </w:rPr>
            </w:pPr>
          </w:p>
        </w:tc>
        <w:tc>
          <w:tcPr>
            <w:tcW w:w="649" w:type="dxa"/>
            <w:tcBorders>
              <w:top w:val="single" w:color="auto" w:sz="4" w:space="0"/>
              <w:left w:val="single" w:color="auto" w:sz="4" w:space="0"/>
              <w:bottom w:val="single" w:color="auto" w:sz="4" w:space="0"/>
              <w:right w:val="single" w:color="auto" w:sz="4" w:space="0"/>
            </w:tcBorders>
          </w:tcPr>
          <w:p w14:paraId="44356D3D">
            <w:pPr>
              <w:rPr>
                <w:rFonts w:cstheme="minorHAnsi"/>
                <w:sz w:val="20"/>
                <w:szCs w:val="20"/>
                <w:lang w:val="en-GB"/>
              </w:rPr>
            </w:pPr>
          </w:p>
        </w:tc>
      </w:tr>
      <w:tr w14:paraId="5EB1BDC6">
        <w:trPr>
          <w:trHeight w:val="300" w:hRule="atLeast"/>
          <w:jc w:val="center"/>
        </w:trPr>
        <w:tc>
          <w:tcPr>
            <w:tcW w:w="3900" w:type="dxa"/>
            <w:tcBorders>
              <w:top w:val="single" w:color="auto" w:sz="4" w:space="0"/>
              <w:left w:val="single" w:color="auto" w:sz="4" w:space="0"/>
              <w:bottom w:val="single" w:color="auto" w:sz="4" w:space="0"/>
              <w:right w:val="single" w:color="auto" w:sz="4" w:space="0"/>
            </w:tcBorders>
            <w:shd w:val="clear" w:color="auto" w:fill="ECECEC" w:themeFill="accent3" w:themeFillTint="33"/>
          </w:tcPr>
          <w:p w14:paraId="002D9A4F">
            <w:pPr>
              <w:rPr>
                <w:rFonts w:cstheme="minorHAnsi"/>
                <w:sz w:val="20"/>
                <w:szCs w:val="20"/>
                <w:lang w:val="en-GB"/>
              </w:rPr>
            </w:pPr>
            <w:r>
              <w:rPr>
                <w:rFonts w:cstheme="minorHAnsi"/>
                <w:sz w:val="20"/>
                <w:szCs w:val="20"/>
                <w:lang w:val="en-GB"/>
              </w:rPr>
              <w:t>Draft ProDoc, CEO ER and Annexes for RTA/RTS review</w:t>
            </w:r>
          </w:p>
        </w:tc>
        <w:tc>
          <w:tcPr>
            <w:tcW w:w="1020" w:type="dxa"/>
            <w:vMerge w:val="continue"/>
            <w:vAlign w:val="center"/>
          </w:tcPr>
          <w:p w14:paraId="1572743F">
            <w:pPr>
              <w:rPr>
                <w:rFonts w:cstheme="minorHAnsi"/>
              </w:rPr>
            </w:pPr>
          </w:p>
        </w:tc>
        <w:tc>
          <w:tcPr>
            <w:tcW w:w="690" w:type="dxa"/>
            <w:tcBorders>
              <w:top w:val="single" w:color="auto" w:sz="4" w:space="0"/>
              <w:left w:val="single" w:color="auto" w:sz="4" w:space="0"/>
              <w:bottom w:val="single" w:color="auto" w:sz="4" w:space="0"/>
              <w:right w:val="single" w:color="auto" w:sz="4" w:space="0"/>
            </w:tcBorders>
          </w:tcPr>
          <w:p w14:paraId="0D78058E">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400C3EE0">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1232E181">
            <w:pPr>
              <w:rPr>
                <w:rFonts w:cstheme="minorHAnsi"/>
                <w:sz w:val="20"/>
                <w:szCs w:val="20"/>
                <w:lang w:val="en-GB"/>
              </w:rPr>
            </w:pPr>
          </w:p>
        </w:tc>
        <w:tc>
          <w:tcPr>
            <w:tcW w:w="705" w:type="dxa"/>
            <w:tcBorders>
              <w:top w:val="single" w:color="auto" w:sz="4" w:space="0"/>
              <w:left w:val="single" w:color="auto" w:sz="4" w:space="0"/>
              <w:bottom w:val="single" w:color="auto" w:sz="4" w:space="0"/>
              <w:right w:val="single" w:color="auto" w:sz="4" w:space="0"/>
            </w:tcBorders>
          </w:tcPr>
          <w:p w14:paraId="66EC5C78">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7658D0C0">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46D0446E">
            <w:pPr>
              <w:rPr>
                <w:rFonts w:cstheme="minorHAnsi"/>
                <w:sz w:val="20"/>
                <w:szCs w:val="20"/>
                <w:lang w:val="en-GB"/>
              </w:rPr>
            </w:pPr>
          </w:p>
        </w:tc>
        <w:tc>
          <w:tcPr>
            <w:tcW w:w="736" w:type="dxa"/>
            <w:tcBorders>
              <w:top w:val="single" w:color="auto" w:sz="4" w:space="0"/>
              <w:left w:val="single" w:color="auto" w:sz="4" w:space="0"/>
              <w:bottom w:val="single" w:color="auto" w:sz="4" w:space="0"/>
              <w:right w:val="single" w:color="auto" w:sz="4" w:space="0"/>
            </w:tcBorders>
          </w:tcPr>
          <w:p w14:paraId="368E98F5">
            <w:pPr>
              <w:rPr>
                <w:rFonts w:cstheme="minorHAnsi"/>
                <w:sz w:val="20"/>
                <w:szCs w:val="20"/>
                <w:lang w:val="en-GB"/>
              </w:rPr>
            </w:pPr>
          </w:p>
        </w:tc>
        <w:tc>
          <w:tcPr>
            <w:tcW w:w="569" w:type="dxa"/>
            <w:tcBorders>
              <w:top w:val="single" w:color="auto" w:sz="4" w:space="0"/>
              <w:left w:val="single" w:color="auto" w:sz="4" w:space="0"/>
              <w:bottom w:val="single" w:color="auto" w:sz="4" w:space="0"/>
              <w:right w:val="single" w:color="auto" w:sz="4" w:space="0"/>
            </w:tcBorders>
          </w:tcPr>
          <w:p w14:paraId="5BD9CD60">
            <w:pPr>
              <w:rPr>
                <w:rFonts w:cstheme="minorHAnsi"/>
                <w:sz w:val="20"/>
                <w:szCs w:val="20"/>
                <w:lang w:val="en-GB"/>
              </w:rPr>
            </w:pPr>
          </w:p>
        </w:tc>
        <w:tc>
          <w:tcPr>
            <w:tcW w:w="553"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24A37DC1">
            <w:pPr>
              <w:rPr>
                <w:rFonts w:cstheme="minorHAnsi"/>
                <w:sz w:val="20"/>
                <w:szCs w:val="20"/>
                <w:lang w:val="en-GB"/>
              </w:rPr>
            </w:pPr>
          </w:p>
        </w:tc>
        <w:tc>
          <w:tcPr>
            <w:tcW w:w="542"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57D4C0D2">
            <w:pPr>
              <w:rPr>
                <w:rFonts w:cstheme="minorHAnsi"/>
                <w:sz w:val="20"/>
                <w:szCs w:val="20"/>
                <w:lang w:val="en-GB"/>
              </w:rPr>
            </w:pPr>
          </w:p>
        </w:tc>
        <w:tc>
          <w:tcPr>
            <w:tcW w:w="577" w:type="dxa"/>
            <w:tcBorders>
              <w:top w:val="single" w:color="auto" w:sz="4" w:space="0"/>
              <w:left w:val="single" w:color="auto" w:sz="4" w:space="0"/>
              <w:bottom w:val="single" w:color="auto" w:sz="4" w:space="0"/>
              <w:right w:val="single" w:color="auto" w:sz="4" w:space="0"/>
            </w:tcBorders>
          </w:tcPr>
          <w:p w14:paraId="52916927">
            <w:pPr>
              <w:rPr>
                <w:rFonts w:cstheme="minorHAnsi"/>
                <w:sz w:val="20"/>
                <w:szCs w:val="20"/>
                <w:lang w:val="en-GB"/>
              </w:rPr>
            </w:pPr>
          </w:p>
        </w:tc>
        <w:tc>
          <w:tcPr>
            <w:tcW w:w="559" w:type="dxa"/>
            <w:tcBorders>
              <w:top w:val="single" w:color="auto" w:sz="4" w:space="0"/>
              <w:left w:val="single" w:color="auto" w:sz="4" w:space="0"/>
              <w:bottom w:val="single" w:color="auto" w:sz="4" w:space="0"/>
              <w:right w:val="single" w:color="auto" w:sz="4" w:space="0"/>
            </w:tcBorders>
          </w:tcPr>
          <w:p w14:paraId="0C7E5049">
            <w:pPr>
              <w:rPr>
                <w:rFonts w:cstheme="minorHAnsi"/>
                <w:sz w:val="20"/>
                <w:szCs w:val="20"/>
                <w:lang w:val="en-GB"/>
              </w:rPr>
            </w:pPr>
          </w:p>
        </w:tc>
        <w:tc>
          <w:tcPr>
            <w:tcW w:w="649" w:type="dxa"/>
            <w:tcBorders>
              <w:top w:val="single" w:color="auto" w:sz="4" w:space="0"/>
              <w:left w:val="single" w:color="auto" w:sz="4" w:space="0"/>
              <w:bottom w:val="single" w:color="auto" w:sz="4" w:space="0"/>
              <w:right w:val="single" w:color="auto" w:sz="4" w:space="0"/>
            </w:tcBorders>
          </w:tcPr>
          <w:p w14:paraId="67B14996">
            <w:pPr>
              <w:rPr>
                <w:rFonts w:cstheme="minorHAnsi"/>
                <w:sz w:val="20"/>
                <w:szCs w:val="20"/>
                <w:lang w:val="en-GB"/>
              </w:rPr>
            </w:pPr>
          </w:p>
        </w:tc>
      </w:tr>
      <w:tr w14:paraId="3A4F3081">
        <w:trPr>
          <w:trHeight w:val="300" w:hRule="atLeast"/>
          <w:jc w:val="center"/>
        </w:trPr>
        <w:tc>
          <w:tcPr>
            <w:tcW w:w="3900" w:type="dxa"/>
            <w:tcBorders>
              <w:top w:val="single" w:color="auto" w:sz="4" w:space="0"/>
              <w:left w:val="single" w:color="auto" w:sz="4" w:space="0"/>
              <w:bottom w:val="single" w:color="auto" w:sz="4" w:space="0"/>
              <w:right w:val="single" w:color="auto" w:sz="4" w:space="0"/>
            </w:tcBorders>
            <w:shd w:val="clear" w:color="auto" w:fill="ECECEC" w:themeFill="accent3" w:themeFillTint="33"/>
          </w:tcPr>
          <w:p w14:paraId="1D6D1FF6">
            <w:pPr>
              <w:rPr>
                <w:rFonts w:cstheme="minorHAnsi"/>
                <w:sz w:val="20"/>
                <w:szCs w:val="20"/>
                <w:lang w:val="en-GB"/>
              </w:rPr>
            </w:pPr>
            <w:r>
              <w:rPr>
                <w:rFonts w:cstheme="minorHAnsi"/>
                <w:sz w:val="20"/>
                <w:szCs w:val="20"/>
                <w:lang w:val="en-GB"/>
              </w:rPr>
              <w:t>Draft ProDoc, CEO ER and Annexes for BPPS review and clearance</w:t>
            </w:r>
          </w:p>
        </w:tc>
        <w:tc>
          <w:tcPr>
            <w:tcW w:w="1020" w:type="dxa"/>
            <w:vMerge w:val="continue"/>
            <w:vAlign w:val="center"/>
          </w:tcPr>
          <w:p w14:paraId="22238D4D">
            <w:pPr>
              <w:rPr>
                <w:rFonts w:cstheme="minorHAnsi"/>
              </w:rPr>
            </w:pPr>
          </w:p>
        </w:tc>
        <w:tc>
          <w:tcPr>
            <w:tcW w:w="690" w:type="dxa"/>
            <w:tcBorders>
              <w:top w:val="single" w:color="auto" w:sz="4" w:space="0"/>
              <w:left w:val="single" w:color="auto" w:sz="4" w:space="0"/>
              <w:bottom w:val="single" w:color="auto" w:sz="4" w:space="0"/>
              <w:right w:val="single" w:color="auto" w:sz="4" w:space="0"/>
            </w:tcBorders>
          </w:tcPr>
          <w:p w14:paraId="6D6A71A8">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00F21236">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19609707">
            <w:pPr>
              <w:rPr>
                <w:rFonts w:cstheme="minorHAnsi"/>
                <w:sz w:val="20"/>
                <w:szCs w:val="20"/>
                <w:lang w:val="en-GB"/>
              </w:rPr>
            </w:pPr>
          </w:p>
        </w:tc>
        <w:tc>
          <w:tcPr>
            <w:tcW w:w="705" w:type="dxa"/>
            <w:tcBorders>
              <w:top w:val="single" w:color="auto" w:sz="4" w:space="0"/>
              <w:left w:val="single" w:color="auto" w:sz="4" w:space="0"/>
              <w:bottom w:val="single" w:color="auto" w:sz="4" w:space="0"/>
              <w:right w:val="single" w:color="auto" w:sz="4" w:space="0"/>
            </w:tcBorders>
          </w:tcPr>
          <w:p w14:paraId="7885FCF1">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6D5E9673">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60FF0963">
            <w:pPr>
              <w:rPr>
                <w:rFonts w:cstheme="minorHAnsi"/>
                <w:sz w:val="20"/>
                <w:szCs w:val="20"/>
                <w:lang w:val="en-GB"/>
              </w:rPr>
            </w:pPr>
          </w:p>
        </w:tc>
        <w:tc>
          <w:tcPr>
            <w:tcW w:w="736" w:type="dxa"/>
            <w:tcBorders>
              <w:top w:val="single" w:color="auto" w:sz="4" w:space="0"/>
              <w:left w:val="single" w:color="auto" w:sz="4" w:space="0"/>
              <w:bottom w:val="single" w:color="auto" w:sz="4" w:space="0"/>
              <w:right w:val="single" w:color="auto" w:sz="4" w:space="0"/>
            </w:tcBorders>
          </w:tcPr>
          <w:p w14:paraId="3B337AB5">
            <w:pPr>
              <w:rPr>
                <w:rFonts w:cstheme="minorHAnsi"/>
                <w:sz w:val="20"/>
                <w:szCs w:val="20"/>
                <w:lang w:val="en-GB"/>
              </w:rPr>
            </w:pPr>
          </w:p>
        </w:tc>
        <w:tc>
          <w:tcPr>
            <w:tcW w:w="569" w:type="dxa"/>
            <w:tcBorders>
              <w:top w:val="single" w:color="auto" w:sz="4" w:space="0"/>
              <w:left w:val="single" w:color="auto" w:sz="4" w:space="0"/>
              <w:bottom w:val="single" w:color="auto" w:sz="4" w:space="0"/>
              <w:right w:val="single" w:color="auto" w:sz="4" w:space="0"/>
            </w:tcBorders>
          </w:tcPr>
          <w:p w14:paraId="2D87BA34">
            <w:pPr>
              <w:rPr>
                <w:rFonts w:cstheme="minorHAnsi"/>
                <w:sz w:val="20"/>
                <w:szCs w:val="20"/>
                <w:lang w:val="en-GB"/>
              </w:rPr>
            </w:pPr>
          </w:p>
        </w:tc>
        <w:tc>
          <w:tcPr>
            <w:tcW w:w="553" w:type="dxa"/>
            <w:tcBorders>
              <w:top w:val="single" w:color="auto" w:sz="4" w:space="0"/>
              <w:left w:val="single" w:color="auto" w:sz="4" w:space="0"/>
              <w:bottom w:val="single" w:color="auto" w:sz="4" w:space="0"/>
              <w:right w:val="single" w:color="auto" w:sz="4" w:space="0"/>
            </w:tcBorders>
          </w:tcPr>
          <w:p w14:paraId="596D30DD">
            <w:pPr>
              <w:rPr>
                <w:rFonts w:cstheme="minorHAnsi"/>
                <w:sz w:val="20"/>
                <w:szCs w:val="20"/>
                <w:lang w:val="en-GB"/>
              </w:rPr>
            </w:pPr>
          </w:p>
        </w:tc>
        <w:tc>
          <w:tcPr>
            <w:tcW w:w="542"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0DDDB63E">
            <w:pPr>
              <w:rPr>
                <w:rFonts w:cstheme="minorHAnsi"/>
                <w:sz w:val="20"/>
                <w:szCs w:val="20"/>
                <w:lang w:val="en-GB"/>
              </w:rPr>
            </w:pPr>
          </w:p>
        </w:tc>
        <w:tc>
          <w:tcPr>
            <w:tcW w:w="577"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7CD0C188">
            <w:pPr>
              <w:rPr>
                <w:rFonts w:cstheme="minorHAnsi"/>
                <w:sz w:val="20"/>
                <w:szCs w:val="20"/>
                <w:lang w:val="en-GB"/>
              </w:rPr>
            </w:pPr>
          </w:p>
        </w:tc>
        <w:tc>
          <w:tcPr>
            <w:tcW w:w="559" w:type="dxa"/>
            <w:tcBorders>
              <w:top w:val="single" w:color="auto" w:sz="4" w:space="0"/>
              <w:left w:val="single" w:color="auto" w:sz="4" w:space="0"/>
              <w:bottom w:val="single" w:color="auto" w:sz="4" w:space="0"/>
              <w:right w:val="single" w:color="auto" w:sz="4" w:space="0"/>
            </w:tcBorders>
          </w:tcPr>
          <w:p w14:paraId="047D70F2">
            <w:pPr>
              <w:rPr>
                <w:rFonts w:cstheme="minorHAnsi"/>
                <w:sz w:val="20"/>
                <w:szCs w:val="20"/>
                <w:lang w:val="en-GB"/>
              </w:rPr>
            </w:pPr>
          </w:p>
        </w:tc>
        <w:tc>
          <w:tcPr>
            <w:tcW w:w="649" w:type="dxa"/>
            <w:tcBorders>
              <w:top w:val="single" w:color="auto" w:sz="4" w:space="0"/>
              <w:left w:val="single" w:color="auto" w:sz="4" w:space="0"/>
              <w:bottom w:val="single" w:color="auto" w:sz="4" w:space="0"/>
              <w:right w:val="single" w:color="auto" w:sz="4" w:space="0"/>
            </w:tcBorders>
          </w:tcPr>
          <w:p w14:paraId="2E91AEFD">
            <w:pPr>
              <w:rPr>
                <w:rFonts w:cstheme="minorHAnsi"/>
                <w:sz w:val="20"/>
                <w:szCs w:val="20"/>
                <w:lang w:val="en-GB"/>
              </w:rPr>
            </w:pPr>
          </w:p>
        </w:tc>
      </w:tr>
      <w:tr w14:paraId="506B306D">
        <w:trPr>
          <w:trHeight w:val="300" w:hRule="atLeast"/>
          <w:jc w:val="center"/>
        </w:trPr>
        <w:tc>
          <w:tcPr>
            <w:tcW w:w="3900" w:type="dxa"/>
            <w:tcBorders>
              <w:top w:val="single" w:color="auto" w:sz="4" w:space="0"/>
              <w:left w:val="single" w:color="auto" w:sz="4" w:space="0"/>
              <w:bottom w:val="single" w:color="auto" w:sz="4" w:space="0"/>
              <w:right w:val="single" w:color="auto" w:sz="4" w:space="0"/>
            </w:tcBorders>
            <w:shd w:val="clear" w:color="auto" w:fill="ECECEC" w:themeFill="accent3" w:themeFillTint="33"/>
          </w:tcPr>
          <w:p w14:paraId="24504FCA">
            <w:pPr>
              <w:rPr>
                <w:rFonts w:cstheme="minorHAnsi"/>
                <w:sz w:val="20"/>
                <w:szCs w:val="20"/>
                <w:lang w:val="en-GB"/>
              </w:rPr>
            </w:pPr>
            <w:r>
              <w:rPr>
                <w:rFonts w:cstheme="minorHAnsi"/>
                <w:sz w:val="20"/>
                <w:szCs w:val="20"/>
                <w:lang w:val="en-GB"/>
              </w:rPr>
              <w:t>PPG submission for internal clearances</w:t>
            </w:r>
          </w:p>
        </w:tc>
        <w:tc>
          <w:tcPr>
            <w:tcW w:w="1020" w:type="dxa"/>
            <w:vMerge w:val="continue"/>
            <w:vAlign w:val="center"/>
          </w:tcPr>
          <w:p w14:paraId="4572EBFE">
            <w:pPr>
              <w:rPr>
                <w:rFonts w:cstheme="minorHAnsi"/>
              </w:rPr>
            </w:pPr>
          </w:p>
        </w:tc>
        <w:tc>
          <w:tcPr>
            <w:tcW w:w="690" w:type="dxa"/>
            <w:tcBorders>
              <w:top w:val="single" w:color="auto" w:sz="4" w:space="0"/>
              <w:left w:val="single" w:color="auto" w:sz="4" w:space="0"/>
              <w:bottom w:val="single" w:color="auto" w:sz="4" w:space="0"/>
              <w:right w:val="single" w:color="auto" w:sz="4" w:space="0"/>
            </w:tcBorders>
          </w:tcPr>
          <w:p w14:paraId="058228A4">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53A2FF58">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0C31D64A">
            <w:pPr>
              <w:rPr>
                <w:rFonts w:cstheme="minorHAnsi"/>
                <w:sz w:val="20"/>
                <w:szCs w:val="20"/>
                <w:lang w:val="en-GB"/>
              </w:rPr>
            </w:pPr>
          </w:p>
        </w:tc>
        <w:tc>
          <w:tcPr>
            <w:tcW w:w="705" w:type="dxa"/>
            <w:tcBorders>
              <w:top w:val="single" w:color="auto" w:sz="4" w:space="0"/>
              <w:left w:val="single" w:color="auto" w:sz="4" w:space="0"/>
              <w:bottom w:val="single" w:color="auto" w:sz="4" w:space="0"/>
              <w:right w:val="single" w:color="auto" w:sz="4" w:space="0"/>
            </w:tcBorders>
          </w:tcPr>
          <w:p w14:paraId="25943A22">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5D7F874D">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4B1F1FEA">
            <w:pPr>
              <w:rPr>
                <w:rFonts w:cstheme="minorHAnsi"/>
                <w:sz w:val="20"/>
                <w:szCs w:val="20"/>
                <w:lang w:val="en-GB"/>
              </w:rPr>
            </w:pPr>
          </w:p>
        </w:tc>
        <w:tc>
          <w:tcPr>
            <w:tcW w:w="736" w:type="dxa"/>
            <w:tcBorders>
              <w:top w:val="single" w:color="auto" w:sz="4" w:space="0"/>
              <w:left w:val="single" w:color="auto" w:sz="4" w:space="0"/>
              <w:bottom w:val="single" w:color="auto" w:sz="4" w:space="0"/>
              <w:right w:val="single" w:color="auto" w:sz="4" w:space="0"/>
            </w:tcBorders>
          </w:tcPr>
          <w:p w14:paraId="7E865B03">
            <w:pPr>
              <w:rPr>
                <w:rFonts w:cstheme="minorHAnsi"/>
                <w:sz w:val="20"/>
                <w:szCs w:val="20"/>
                <w:lang w:val="en-GB"/>
              </w:rPr>
            </w:pPr>
          </w:p>
        </w:tc>
        <w:tc>
          <w:tcPr>
            <w:tcW w:w="569" w:type="dxa"/>
            <w:tcBorders>
              <w:top w:val="single" w:color="auto" w:sz="4" w:space="0"/>
              <w:left w:val="single" w:color="auto" w:sz="4" w:space="0"/>
              <w:bottom w:val="single" w:color="auto" w:sz="4" w:space="0"/>
              <w:right w:val="single" w:color="auto" w:sz="4" w:space="0"/>
            </w:tcBorders>
          </w:tcPr>
          <w:p w14:paraId="2BD82923">
            <w:pPr>
              <w:rPr>
                <w:rFonts w:cstheme="minorHAnsi"/>
                <w:sz w:val="20"/>
                <w:szCs w:val="20"/>
                <w:lang w:val="en-GB"/>
              </w:rPr>
            </w:pPr>
          </w:p>
        </w:tc>
        <w:tc>
          <w:tcPr>
            <w:tcW w:w="553" w:type="dxa"/>
            <w:tcBorders>
              <w:top w:val="single" w:color="auto" w:sz="4" w:space="0"/>
              <w:left w:val="single" w:color="auto" w:sz="4" w:space="0"/>
              <w:bottom w:val="single" w:color="auto" w:sz="4" w:space="0"/>
              <w:right w:val="single" w:color="auto" w:sz="4" w:space="0"/>
            </w:tcBorders>
          </w:tcPr>
          <w:p w14:paraId="41F0FCD3">
            <w:pPr>
              <w:rPr>
                <w:rFonts w:cstheme="minorHAnsi"/>
                <w:sz w:val="20"/>
                <w:szCs w:val="20"/>
                <w:lang w:val="en-GB"/>
              </w:rPr>
            </w:pPr>
          </w:p>
        </w:tc>
        <w:tc>
          <w:tcPr>
            <w:tcW w:w="542"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57C270FA">
            <w:pPr>
              <w:rPr>
                <w:rFonts w:cstheme="minorHAnsi"/>
                <w:sz w:val="20"/>
                <w:szCs w:val="20"/>
                <w:lang w:val="en-GB"/>
              </w:rPr>
            </w:pPr>
          </w:p>
        </w:tc>
        <w:tc>
          <w:tcPr>
            <w:tcW w:w="577"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054295E3">
            <w:pPr>
              <w:rPr>
                <w:rFonts w:cstheme="minorHAnsi"/>
                <w:sz w:val="20"/>
                <w:szCs w:val="20"/>
                <w:lang w:val="en-GB"/>
              </w:rPr>
            </w:pPr>
          </w:p>
        </w:tc>
        <w:tc>
          <w:tcPr>
            <w:tcW w:w="559" w:type="dxa"/>
            <w:tcBorders>
              <w:top w:val="single" w:color="auto" w:sz="4" w:space="0"/>
              <w:left w:val="single" w:color="auto" w:sz="4" w:space="0"/>
              <w:bottom w:val="single" w:color="auto" w:sz="4" w:space="0"/>
              <w:right w:val="single" w:color="auto" w:sz="4" w:space="0"/>
            </w:tcBorders>
          </w:tcPr>
          <w:p w14:paraId="724CDB0B">
            <w:pPr>
              <w:rPr>
                <w:rFonts w:cstheme="minorHAnsi"/>
                <w:sz w:val="20"/>
                <w:szCs w:val="20"/>
                <w:lang w:val="en-GB"/>
              </w:rPr>
            </w:pPr>
          </w:p>
        </w:tc>
        <w:tc>
          <w:tcPr>
            <w:tcW w:w="649" w:type="dxa"/>
            <w:tcBorders>
              <w:top w:val="single" w:color="auto" w:sz="4" w:space="0"/>
              <w:left w:val="single" w:color="auto" w:sz="4" w:space="0"/>
              <w:bottom w:val="single" w:color="auto" w:sz="4" w:space="0"/>
              <w:right w:val="single" w:color="auto" w:sz="4" w:space="0"/>
            </w:tcBorders>
          </w:tcPr>
          <w:p w14:paraId="43319A0E">
            <w:pPr>
              <w:rPr>
                <w:rFonts w:cstheme="minorHAnsi"/>
                <w:sz w:val="20"/>
                <w:szCs w:val="20"/>
                <w:lang w:val="en-GB"/>
              </w:rPr>
            </w:pPr>
          </w:p>
        </w:tc>
      </w:tr>
      <w:tr w14:paraId="444A1CD5">
        <w:trPr>
          <w:trHeight w:val="300" w:hRule="atLeast"/>
          <w:jc w:val="center"/>
        </w:trPr>
        <w:tc>
          <w:tcPr>
            <w:tcW w:w="3900" w:type="dxa"/>
            <w:tcBorders>
              <w:top w:val="single" w:color="auto" w:sz="4" w:space="0"/>
              <w:left w:val="single" w:color="auto" w:sz="4" w:space="0"/>
              <w:bottom w:val="single" w:color="auto" w:sz="4" w:space="0"/>
              <w:right w:val="single" w:color="auto" w:sz="4" w:space="0"/>
            </w:tcBorders>
            <w:shd w:val="clear" w:color="auto" w:fill="ECECEC" w:themeFill="accent3" w:themeFillTint="33"/>
          </w:tcPr>
          <w:p w14:paraId="525716C3">
            <w:pPr>
              <w:rPr>
                <w:rFonts w:cstheme="minorHAnsi"/>
                <w:sz w:val="20"/>
                <w:szCs w:val="20"/>
                <w:lang w:val="en-GB"/>
              </w:rPr>
            </w:pPr>
            <w:r>
              <w:rPr>
                <w:rFonts w:cstheme="minorHAnsi"/>
                <w:sz w:val="20"/>
                <w:szCs w:val="20"/>
                <w:lang w:val="en-GB"/>
              </w:rPr>
              <w:t>First GEF submission</w:t>
            </w:r>
          </w:p>
        </w:tc>
        <w:tc>
          <w:tcPr>
            <w:tcW w:w="1020" w:type="dxa"/>
            <w:tcBorders>
              <w:top w:val="single" w:color="auto" w:sz="4" w:space="0"/>
              <w:left w:val="single" w:color="auto" w:sz="4" w:space="0"/>
              <w:bottom w:val="single" w:color="auto" w:sz="4" w:space="0"/>
              <w:right w:val="single" w:color="auto" w:sz="4" w:space="0"/>
            </w:tcBorders>
            <w:shd w:val="clear" w:color="auto" w:fill="ECECEC" w:themeFill="accent3" w:themeFillTint="33"/>
            <w:vAlign w:val="center"/>
          </w:tcPr>
          <w:p w14:paraId="7D63F1E3">
            <w:pPr>
              <w:jc w:val="center"/>
              <w:rPr>
                <w:rFonts w:cstheme="minorHAnsi"/>
                <w:sz w:val="20"/>
                <w:szCs w:val="20"/>
                <w:lang w:val="en-GB"/>
              </w:rPr>
            </w:pPr>
            <w:r>
              <w:rPr>
                <w:rFonts w:cstheme="minorHAnsi"/>
                <w:sz w:val="20"/>
                <w:szCs w:val="20"/>
                <w:lang w:val="en-GB"/>
              </w:rPr>
              <w:t>-</w:t>
            </w:r>
          </w:p>
        </w:tc>
        <w:tc>
          <w:tcPr>
            <w:tcW w:w="690" w:type="dxa"/>
            <w:tcBorders>
              <w:top w:val="single" w:color="auto" w:sz="4" w:space="0"/>
              <w:left w:val="single" w:color="auto" w:sz="4" w:space="0"/>
              <w:bottom w:val="single" w:color="auto" w:sz="4" w:space="0"/>
              <w:right w:val="single" w:color="auto" w:sz="4" w:space="0"/>
            </w:tcBorders>
          </w:tcPr>
          <w:p w14:paraId="7411B49F">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1A7BAD61">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7C987DAD">
            <w:pPr>
              <w:rPr>
                <w:rFonts w:cstheme="minorHAnsi"/>
                <w:sz w:val="20"/>
                <w:szCs w:val="20"/>
                <w:lang w:val="en-GB"/>
              </w:rPr>
            </w:pPr>
          </w:p>
        </w:tc>
        <w:tc>
          <w:tcPr>
            <w:tcW w:w="705" w:type="dxa"/>
            <w:tcBorders>
              <w:top w:val="single" w:color="auto" w:sz="4" w:space="0"/>
              <w:left w:val="single" w:color="auto" w:sz="4" w:space="0"/>
              <w:bottom w:val="single" w:color="auto" w:sz="4" w:space="0"/>
              <w:right w:val="single" w:color="auto" w:sz="4" w:space="0"/>
            </w:tcBorders>
          </w:tcPr>
          <w:p w14:paraId="14DC2B13">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4C512F2F">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2F53EF23">
            <w:pPr>
              <w:rPr>
                <w:rFonts w:cstheme="minorHAnsi"/>
                <w:sz w:val="20"/>
                <w:szCs w:val="20"/>
                <w:lang w:val="en-GB"/>
              </w:rPr>
            </w:pPr>
          </w:p>
        </w:tc>
        <w:tc>
          <w:tcPr>
            <w:tcW w:w="736" w:type="dxa"/>
            <w:tcBorders>
              <w:top w:val="single" w:color="auto" w:sz="4" w:space="0"/>
              <w:left w:val="single" w:color="auto" w:sz="4" w:space="0"/>
              <w:bottom w:val="single" w:color="auto" w:sz="4" w:space="0"/>
              <w:right w:val="single" w:color="auto" w:sz="4" w:space="0"/>
            </w:tcBorders>
          </w:tcPr>
          <w:p w14:paraId="5F547B64">
            <w:pPr>
              <w:rPr>
                <w:rFonts w:cstheme="minorHAnsi"/>
                <w:sz w:val="20"/>
                <w:szCs w:val="20"/>
                <w:lang w:val="en-GB"/>
              </w:rPr>
            </w:pPr>
          </w:p>
        </w:tc>
        <w:tc>
          <w:tcPr>
            <w:tcW w:w="569" w:type="dxa"/>
            <w:tcBorders>
              <w:top w:val="single" w:color="auto" w:sz="4" w:space="0"/>
              <w:left w:val="single" w:color="auto" w:sz="4" w:space="0"/>
              <w:bottom w:val="single" w:color="auto" w:sz="4" w:space="0"/>
              <w:right w:val="single" w:color="auto" w:sz="4" w:space="0"/>
            </w:tcBorders>
          </w:tcPr>
          <w:p w14:paraId="25D5DB21">
            <w:pPr>
              <w:rPr>
                <w:rFonts w:cstheme="minorHAnsi"/>
                <w:sz w:val="20"/>
                <w:szCs w:val="20"/>
                <w:lang w:val="en-GB"/>
              </w:rPr>
            </w:pPr>
          </w:p>
        </w:tc>
        <w:tc>
          <w:tcPr>
            <w:tcW w:w="553" w:type="dxa"/>
            <w:tcBorders>
              <w:top w:val="single" w:color="auto" w:sz="4" w:space="0"/>
              <w:left w:val="single" w:color="auto" w:sz="4" w:space="0"/>
              <w:bottom w:val="single" w:color="auto" w:sz="4" w:space="0"/>
              <w:right w:val="single" w:color="auto" w:sz="4" w:space="0"/>
            </w:tcBorders>
          </w:tcPr>
          <w:p w14:paraId="7D6E2CBF">
            <w:pPr>
              <w:rPr>
                <w:rFonts w:cstheme="minorHAnsi"/>
                <w:sz w:val="20"/>
                <w:szCs w:val="20"/>
                <w:lang w:val="en-GB"/>
              </w:rPr>
            </w:pPr>
          </w:p>
        </w:tc>
        <w:tc>
          <w:tcPr>
            <w:tcW w:w="542" w:type="dxa"/>
            <w:tcBorders>
              <w:top w:val="single" w:color="auto" w:sz="4" w:space="0"/>
              <w:left w:val="single" w:color="auto" w:sz="4" w:space="0"/>
              <w:bottom w:val="single" w:color="auto" w:sz="4" w:space="0"/>
              <w:right w:val="single" w:color="auto" w:sz="4" w:space="0"/>
            </w:tcBorders>
          </w:tcPr>
          <w:p w14:paraId="1AEE0DC5">
            <w:pPr>
              <w:rPr>
                <w:rFonts w:cstheme="minorHAnsi"/>
                <w:sz w:val="20"/>
                <w:szCs w:val="20"/>
                <w:lang w:val="en-GB"/>
              </w:rPr>
            </w:pPr>
          </w:p>
        </w:tc>
        <w:tc>
          <w:tcPr>
            <w:tcW w:w="577" w:type="dxa"/>
            <w:tcBorders>
              <w:top w:val="single" w:color="auto" w:sz="4" w:space="0"/>
              <w:left w:val="single" w:color="auto" w:sz="4" w:space="0"/>
              <w:bottom w:val="single" w:color="auto" w:sz="4" w:space="0"/>
              <w:right w:val="single" w:color="auto" w:sz="4" w:space="0"/>
            </w:tcBorders>
          </w:tcPr>
          <w:p w14:paraId="03AEEB3A">
            <w:pPr>
              <w:rPr>
                <w:rFonts w:cstheme="minorHAnsi"/>
                <w:sz w:val="20"/>
                <w:szCs w:val="20"/>
                <w:lang w:val="en-GB"/>
              </w:rPr>
            </w:pPr>
          </w:p>
        </w:tc>
        <w:tc>
          <w:tcPr>
            <w:tcW w:w="559"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506CD87B">
            <w:pPr>
              <w:rPr>
                <w:rFonts w:cstheme="minorHAnsi"/>
                <w:sz w:val="20"/>
                <w:szCs w:val="20"/>
                <w:lang w:val="en-GB"/>
              </w:rPr>
            </w:pPr>
          </w:p>
        </w:tc>
        <w:tc>
          <w:tcPr>
            <w:tcW w:w="649" w:type="dxa"/>
            <w:tcBorders>
              <w:top w:val="single" w:color="auto" w:sz="4" w:space="0"/>
              <w:left w:val="single" w:color="auto" w:sz="4" w:space="0"/>
              <w:bottom w:val="single" w:color="auto" w:sz="4" w:space="0"/>
              <w:right w:val="single" w:color="auto" w:sz="4" w:space="0"/>
            </w:tcBorders>
          </w:tcPr>
          <w:p w14:paraId="0A339AB1">
            <w:pPr>
              <w:rPr>
                <w:rFonts w:cstheme="minorHAnsi"/>
                <w:sz w:val="20"/>
                <w:szCs w:val="20"/>
                <w:lang w:val="en-GB"/>
              </w:rPr>
            </w:pPr>
          </w:p>
        </w:tc>
      </w:tr>
      <w:tr w14:paraId="3B5CA0FD">
        <w:trPr>
          <w:trHeight w:val="300" w:hRule="atLeast"/>
          <w:jc w:val="center"/>
        </w:trPr>
        <w:tc>
          <w:tcPr>
            <w:tcW w:w="3900" w:type="dxa"/>
            <w:tcBorders>
              <w:top w:val="single" w:color="auto" w:sz="4" w:space="0"/>
              <w:left w:val="single" w:color="auto" w:sz="4" w:space="0"/>
              <w:bottom w:val="single" w:color="auto" w:sz="4" w:space="0"/>
              <w:right w:val="single" w:color="auto" w:sz="4" w:space="0"/>
            </w:tcBorders>
            <w:shd w:val="clear" w:color="auto" w:fill="ECECEC" w:themeFill="accent3" w:themeFillTint="33"/>
          </w:tcPr>
          <w:p w14:paraId="41407B41">
            <w:pPr>
              <w:rPr>
                <w:rFonts w:cstheme="minorHAnsi"/>
                <w:sz w:val="20"/>
                <w:szCs w:val="20"/>
                <w:lang w:val="en-GB"/>
              </w:rPr>
            </w:pPr>
            <w:r>
              <w:rPr>
                <w:rFonts w:cstheme="minorHAnsi"/>
                <w:sz w:val="20"/>
                <w:szCs w:val="20"/>
                <w:lang w:val="en-GB"/>
              </w:rPr>
              <w:t>Necessary reviews/revisions and expected GEF CEO endorsement</w:t>
            </w:r>
          </w:p>
        </w:tc>
        <w:tc>
          <w:tcPr>
            <w:tcW w:w="1020" w:type="dxa"/>
            <w:tcBorders>
              <w:top w:val="single" w:color="auto" w:sz="4" w:space="0"/>
              <w:left w:val="single" w:color="auto" w:sz="4" w:space="0"/>
              <w:bottom w:val="single" w:color="auto" w:sz="4" w:space="0"/>
              <w:right w:val="single" w:color="auto" w:sz="4" w:space="0"/>
            </w:tcBorders>
            <w:shd w:val="clear" w:color="auto" w:fill="ECECEC" w:themeFill="accent3" w:themeFillTint="33"/>
            <w:vAlign w:val="center"/>
          </w:tcPr>
          <w:p w14:paraId="1A697D10">
            <w:pPr>
              <w:jc w:val="center"/>
              <w:rPr>
                <w:rFonts w:cstheme="minorHAnsi"/>
                <w:sz w:val="20"/>
                <w:szCs w:val="20"/>
                <w:lang w:val="en-GB"/>
              </w:rPr>
            </w:pPr>
            <w:r>
              <w:rPr>
                <w:rFonts w:cstheme="minorHAnsi"/>
                <w:sz w:val="20"/>
                <w:szCs w:val="20"/>
                <w:lang w:val="en-GB"/>
              </w:rPr>
              <w:t>-</w:t>
            </w:r>
          </w:p>
        </w:tc>
        <w:tc>
          <w:tcPr>
            <w:tcW w:w="690" w:type="dxa"/>
            <w:tcBorders>
              <w:top w:val="single" w:color="auto" w:sz="4" w:space="0"/>
              <w:left w:val="single" w:color="auto" w:sz="4" w:space="0"/>
              <w:bottom w:val="single" w:color="auto" w:sz="4" w:space="0"/>
              <w:right w:val="single" w:color="auto" w:sz="4" w:space="0"/>
            </w:tcBorders>
          </w:tcPr>
          <w:p w14:paraId="47CAC8D7">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3505A5DC">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70386600">
            <w:pPr>
              <w:rPr>
                <w:rFonts w:cstheme="minorHAnsi"/>
                <w:sz w:val="20"/>
                <w:szCs w:val="20"/>
                <w:lang w:val="en-GB"/>
              </w:rPr>
            </w:pPr>
          </w:p>
        </w:tc>
        <w:tc>
          <w:tcPr>
            <w:tcW w:w="705" w:type="dxa"/>
            <w:tcBorders>
              <w:top w:val="single" w:color="auto" w:sz="4" w:space="0"/>
              <w:left w:val="single" w:color="auto" w:sz="4" w:space="0"/>
              <w:bottom w:val="single" w:color="auto" w:sz="4" w:space="0"/>
              <w:right w:val="single" w:color="auto" w:sz="4" w:space="0"/>
            </w:tcBorders>
          </w:tcPr>
          <w:p w14:paraId="05A8B830">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0B43B2CD">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483F9703">
            <w:pPr>
              <w:rPr>
                <w:rFonts w:cstheme="minorHAnsi"/>
                <w:sz w:val="20"/>
                <w:szCs w:val="20"/>
                <w:lang w:val="en-GB"/>
              </w:rPr>
            </w:pPr>
          </w:p>
        </w:tc>
        <w:tc>
          <w:tcPr>
            <w:tcW w:w="736" w:type="dxa"/>
            <w:tcBorders>
              <w:top w:val="single" w:color="auto" w:sz="4" w:space="0"/>
              <w:left w:val="single" w:color="auto" w:sz="4" w:space="0"/>
              <w:bottom w:val="single" w:color="auto" w:sz="4" w:space="0"/>
              <w:right w:val="single" w:color="auto" w:sz="4" w:space="0"/>
            </w:tcBorders>
          </w:tcPr>
          <w:p w14:paraId="11035A58">
            <w:pPr>
              <w:rPr>
                <w:rFonts w:cstheme="minorHAnsi"/>
                <w:sz w:val="20"/>
                <w:szCs w:val="20"/>
                <w:lang w:val="en-GB"/>
              </w:rPr>
            </w:pPr>
          </w:p>
        </w:tc>
        <w:tc>
          <w:tcPr>
            <w:tcW w:w="569" w:type="dxa"/>
            <w:tcBorders>
              <w:top w:val="single" w:color="auto" w:sz="4" w:space="0"/>
              <w:left w:val="single" w:color="auto" w:sz="4" w:space="0"/>
              <w:bottom w:val="single" w:color="auto" w:sz="4" w:space="0"/>
              <w:right w:val="single" w:color="auto" w:sz="4" w:space="0"/>
            </w:tcBorders>
          </w:tcPr>
          <w:p w14:paraId="67A43145">
            <w:pPr>
              <w:rPr>
                <w:rFonts w:cstheme="minorHAnsi"/>
                <w:sz w:val="20"/>
                <w:szCs w:val="20"/>
                <w:lang w:val="en-GB"/>
              </w:rPr>
            </w:pPr>
          </w:p>
        </w:tc>
        <w:tc>
          <w:tcPr>
            <w:tcW w:w="553" w:type="dxa"/>
            <w:tcBorders>
              <w:top w:val="single" w:color="auto" w:sz="4" w:space="0"/>
              <w:left w:val="single" w:color="auto" w:sz="4" w:space="0"/>
              <w:bottom w:val="single" w:color="auto" w:sz="4" w:space="0"/>
              <w:right w:val="single" w:color="auto" w:sz="4" w:space="0"/>
            </w:tcBorders>
          </w:tcPr>
          <w:p w14:paraId="7057231B">
            <w:pPr>
              <w:rPr>
                <w:rFonts w:cstheme="minorHAnsi"/>
                <w:sz w:val="20"/>
                <w:szCs w:val="20"/>
                <w:lang w:val="en-GB"/>
              </w:rPr>
            </w:pPr>
          </w:p>
        </w:tc>
        <w:tc>
          <w:tcPr>
            <w:tcW w:w="542" w:type="dxa"/>
            <w:tcBorders>
              <w:top w:val="single" w:color="auto" w:sz="4" w:space="0"/>
              <w:left w:val="single" w:color="auto" w:sz="4" w:space="0"/>
              <w:bottom w:val="single" w:color="auto" w:sz="4" w:space="0"/>
              <w:right w:val="single" w:color="auto" w:sz="4" w:space="0"/>
            </w:tcBorders>
          </w:tcPr>
          <w:p w14:paraId="5219F03A">
            <w:pPr>
              <w:rPr>
                <w:rFonts w:cstheme="minorHAnsi"/>
                <w:sz w:val="20"/>
                <w:szCs w:val="20"/>
                <w:lang w:val="en-GB"/>
              </w:rPr>
            </w:pPr>
          </w:p>
        </w:tc>
        <w:tc>
          <w:tcPr>
            <w:tcW w:w="577" w:type="dxa"/>
            <w:tcBorders>
              <w:top w:val="single" w:color="auto" w:sz="4" w:space="0"/>
              <w:left w:val="single" w:color="auto" w:sz="4" w:space="0"/>
              <w:bottom w:val="single" w:color="auto" w:sz="4" w:space="0"/>
              <w:right w:val="single" w:color="auto" w:sz="4" w:space="0"/>
            </w:tcBorders>
          </w:tcPr>
          <w:p w14:paraId="55FBDCB7">
            <w:pPr>
              <w:rPr>
                <w:rFonts w:cstheme="minorHAnsi"/>
                <w:sz w:val="20"/>
                <w:szCs w:val="20"/>
                <w:lang w:val="en-GB"/>
              </w:rPr>
            </w:pPr>
          </w:p>
        </w:tc>
        <w:tc>
          <w:tcPr>
            <w:tcW w:w="559" w:type="dxa"/>
            <w:tcBorders>
              <w:top w:val="single" w:color="auto" w:sz="4" w:space="0"/>
              <w:left w:val="single" w:color="auto" w:sz="4" w:space="0"/>
              <w:bottom w:val="single" w:color="auto" w:sz="4" w:space="0"/>
              <w:right w:val="single" w:color="auto" w:sz="4" w:space="0"/>
            </w:tcBorders>
          </w:tcPr>
          <w:p w14:paraId="238C48F3">
            <w:pPr>
              <w:rPr>
                <w:rFonts w:cstheme="minorHAnsi"/>
                <w:sz w:val="20"/>
                <w:szCs w:val="20"/>
                <w:lang w:val="en-GB"/>
              </w:rPr>
            </w:pPr>
          </w:p>
        </w:tc>
        <w:tc>
          <w:tcPr>
            <w:tcW w:w="649" w:type="dxa"/>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61309B51">
            <w:pPr>
              <w:rPr>
                <w:rFonts w:cstheme="minorHAnsi"/>
                <w:sz w:val="20"/>
                <w:szCs w:val="20"/>
                <w:lang w:val="en-GB"/>
              </w:rPr>
            </w:pPr>
          </w:p>
        </w:tc>
      </w:tr>
      <w:tr w14:paraId="171A8F2A">
        <w:trPr>
          <w:trHeight w:val="300" w:hRule="atLeast"/>
          <w:jc w:val="center"/>
        </w:trPr>
        <w:tc>
          <w:tcPr>
            <w:tcW w:w="3900" w:type="dxa"/>
            <w:tcBorders>
              <w:top w:val="single" w:color="auto" w:sz="4" w:space="0"/>
              <w:left w:val="single" w:color="auto" w:sz="4" w:space="0"/>
              <w:bottom w:val="single" w:color="auto" w:sz="4" w:space="0"/>
              <w:right w:val="single" w:color="auto" w:sz="4" w:space="0"/>
            </w:tcBorders>
            <w:shd w:val="clear" w:color="auto" w:fill="ECECEC" w:themeFill="accent3" w:themeFillTint="33"/>
          </w:tcPr>
          <w:p w14:paraId="7F6470DB">
            <w:pPr>
              <w:jc w:val="right"/>
              <w:rPr>
                <w:rFonts w:cstheme="minorHAnsi"/>
                <w:b/>
                <w:bCs/>
                <w:sz w:val="20"/>
                <w:szCs w:val="20"/>
                <w:lang w:val="en-GB"/>
              </w:rPr>
            </w:pPr>
            <w:r>
              <w:rPr>
                <w:rFonts w:cstheme="minorHAnsi"/>
                <w:b/>
                <w:bCs/>
                <w:sz w:val="20"/>
                <w:szCs w:val="20"/>
                <w:lang w:val="en-GB"/>
              </w:rPr>
              <w:t>TOTAL</w:t>
            </w:r>
          </w:p>
        </w:tc>
        <w:tc>
          <w:tcPr>
            <w:tcW w:w="1020" w:type="dxa"/>
            <w:tcBorders>
              <w:top w:val="single" w:color="auto" w:sz="4" w:space="0"/>
              <w:left w:val="single" w:color="auto" w:sz="4" w:space="0"/>
              <w:bottom w:val="single" w:color="auto" w:sz="4" w:space="0"/>
              <w:right w:val="single" w:color="auto" w:sz="4" w:space="0"/>
            </w:tcBorders>
            <w:shd w:val="clear" w:color="auto" w:fill="ECECEC" w:themeFill="accent3" w:themeFillTint="33"/>
            <w:vAlign w:val="center"/>
          </w:tcPr>
          <w:p w14:paraId="1784A405">
            <w:pPr>
              <w:jc w:val="center"/>
              <w:rPr>
                <w:rFonts w:cstheme="minorHAnsi"/>
                <w:b/>
                <w:bCs/>
                <w:sz w:val="20"/>
                <w:szCs w:val="20"/>
                <w:lang w:val="en-GB"/>
              </w:rPr>
            </w:pPr>
            <w:r>
              <w:rPr>
                <w:rFonts w:cstheme="minorHAnsi"/>
                <w:b/>
                <w:bCs/>
                <w:sz w:val="20"/>
                <w:szCs w:val="20"/>
                <w:lang w:val="en-GB"/>
              </w:rPr>
              <w:t>150,000</w:t>
            </w:r>
          </w:p>
        </w:tc>
        <w:tc>
          <w:tcPr>
            <w:tcW w:w="690" w:type="dxa"/>
            <w:tcBorders>
              <w:top w:val="single" w:color="auto" w:sz="4" w:space="0"/>
              <w:left w:val="single" w:color="auto" w:sz="4" w:space="0"/>
              <w:bottom w:val="single" w:color="auto" w:sz="4" w:space="0"/>
              <w:right w:val="single" w:color="auto" w:sz="4" w:space="0"/>
            </w:tcBorders>
          </w:tcPr>
          <w:p w14:paraId="28A45134">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4BEC6C83">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6BF6489E">
            <w:pPr>
              <w:rPr>
                <w:rFonts w:cstheme="minorHAnsi"/>
                <w:sz w:val="20"/>
                <w:szCs w:val="20"/>
                <w:lang w:val="en-GB"/>
              </w:rPr>
            </w:pPr>
          </w:p>
        </w:tc>
        <w:tc>
          <w:tcPr>
            <w:tcW w:w="705" w:type="dxa"/>
            <w:tcBorders>
              <w:top w:val="single" w:color="auto" w:sz="4" w:space="0"/>
              <w:left w:val="single" w:color="auto" w:sz="4" w:space="0"/>
              <w:bottom w:val="single" w:color="auto" w:sz="4" w:space="0"/>
              <w:right w:val="single" w:color="auto" w:sz="4" w:space="0"/>
            </w:tcBorders>
          </w:tcPr>
          <w:p w14:paraId="30D920B8">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643E178F">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35805580">
            <w:pPr>
              <w:rPr>
                <w:rFonts w:cstheme="minorHAnsi"/>
                <w:sz w:val="20"/>
                <w:szCs w:val="20"/>
                <w:lang w:val="en-GB"/>
              </w:rPr>
            </w:pPr>
          </w:p>
        </w:tc>
        <w:tc>
          <w:tcPr>
            <w:tcW w:w="736" w:type="dxa"/>
            <w:tcBorders>
              <w:top w:val="single" w:color="auto" w:sz="4" w:space="0"/>
              <w:left w:val="single" w:color="auto" w:sz="4" w:space="0"/>
              <w:bottom w:val="single" w:color="auto" w:sz="4" w:space="0"/>
              <w:right w:val="single" w:color="auto" w:sz="4" w:space="0"/>
            </w:tcBorders>
          </w:tcPr>
          <w:p w14:paraId="7B87500A">
            <w:pPr>
              <w:rPr>
                <w:rFonts w:cstheme="minorHAnsi"/>
                <w:sz w:val="20"/>
                <w:szCs w:val="20"/>
                <w:lang w:val="en-GB"/>
              </w:rPr>
            </w:pPr>
          </w:p>
        </w:tc>
        <w:tc>
          <w:tcPr>
            <w:tcW w:w="569" w:type="dxa"/>
            <w:tcBorders>
              <w:top w:val="single" w:color="auto" w:sz="4" w:space="0"/>
              <w:left w:val="single" w:color="auto" w:sz="4" w:space="0"/>
              <w:bottom w:val="single" w:color="auto" w:sz="4" w:space="0"/>
              <w:right w:val="single" w:color="auto" w:sz="4" w:space="0"/>
            </w:tcBorders>
          </w:tcPr>
          <w:p w14:paraId="23556F2C">
            <w:pPr>
              <w:rPr>
                <w:rFonts w:cstheme="minorHAnsi"/>
                <w:sz w:val="20"/>
                <w:szCs w:val="20"/>
                <w:lang w:val="en-GB"/>
              </w:rPr>
            </w:pPr>
          </w:p>
        </w:tc>
        <w:tc>
          <w:tcPr>
            <w:tcW w:w="553" w:type="dxa"/>
            <w:tcBorders>
              <w:top w:val="single" w:color="auto" w:sz="4" w:space="0"/>
              <w:left w:val="single" w:color="auto" w:sz="4" w:space="0"/>
              <w:bottom w:val="single" w:color="auto" w:sz="4" w:space="0"/>
              <w:right w:val="single" w:color="auto" w:sz="4" w:space="0"/>
            </w:tcBorders>
          </w:tcPr>
          <w:p w14:paraId="328D5623">
            <w:pPr>
              <w:rPr>
                <w:rFonts w:cstheme="minorHAnsi"/>
                <w:sz w:val="20"/>
                <w:szCs w:val="20"/>
                <w:lang w:val="en-GB"/>
              </w:rPr>
            </w:pPr>
          </w:p>
        </w:tc>
        <w:tc>
          <w:tcPr>
            <w:tcW w:w="542" w:type="dxa"/>
            <w:tcBorders>
              <w:top w:val="single" w:color="auto" w:sz="4" w:space="0"/>
              <w:left w:val="single" w:color="auto" w:sz="4" w:space="0"/>
              <w:bottom w:val="single" w:color="auto" w:sz="4" w:space="0"/>
              <w:right w:val="single" w:color="auto" w:sz="4" w:space="0"/>
            </w:tcBorders>
          </w:tcPr>
          <w:p w14:paraId="6FF9B393">
            <w:pPr>
              <w:rPr>
                <w:rFonts w:cstheme="minorHAnsi"/>
                <w:sz w:val="20"/>
                <w:szCs w:val="20"/>
                <w:lang w:val="en-GB"/>
              </w:rPr>
            </w:pPr>
          </w:p>
        </w:tc>
        <w:tc>
          <w:tcPr>
            <w:tcW w:w="577" w:type="dxa"/>
            <w:tcBorders>
              <w:top w:val="single" w:color="auto" w:sz="4" w:space="0"/>
              <w:left w:val="single" w:color="auto" w:sz="4" w:space="0"/>
              <w:bottom w:val="single" w:color="auto" w:sz="4" w:space="0"/>
              <w:right w:val="single" w:color="auto" w:sz="4" w:space="0"/>
            </w:tcBorders>
          </w:tcPr>
          <w:p w14:paraId="0355EEAE">
            <w:pPr>
              <w:rPr>
                <w:rFonts w:cstheme="minorHAnsi"/>
                <w:sz w:val="20"/>
                <w:szCs w:val="20"/>
                <w:lang w:val="en-GB"/>
              </w:rPr>
            </w:pPr>
          </w:p>
        </w:tc>
        <w:tc>
          <w:tcPr>
            <w:tcW w:w="559" w:type="dxa"/>
            <w:tcBorders>
              <w:top w:val="single" w:color="auto" w:sz="4" w:space="0"/>
              <w:left w:val="single" w:color="auto" w:sz="4" w:space="0"/>
              <w:bottom w:val="single" w:color="auto" w:sz="4" w:space="0"/>
              <w:right w:val="single" w:color="auto" w:sz="4" w:space="0"/>
            </w:tcBorders>
          </w:tcPr>
          <w:p w14:paraId="6218024B">
            <w:pPr>
              <w:rPr>
                <w:rFonts w:cstheme="minorHAnsi"/>
                <w:sz w:val="20"/>
                <w:szCs w:val="20"/>
                <w:lang w:val="en-GB"/>
              </w:rPr>
            </w:pPr>
          </w:p>
        </w:tc>
        <w:tc>
          <w:tcPr>
            <w:tcW w:w="649" w:type="dxa"/>
            <w:tcBorders>
              <w:top w:val="single" w:color="auto" w:sz="4" w:space="0"/>
              <w:left w:val="single" w:color="auto" w:sz="4" w:space="0"/>
              <w:bottom w:val="single" w:color="auto" w:sz="4" w:space="0"/>
              <w:right w:val="single" w:color="auto" w:sz="4" w:space="0"/>
            </w:tcBorders>
          </w:tcPr>
          <w:p w14:paraId="1E30032A">
            <w:pPr>
              <w:rPr>
                <w:rFonts w:cstheme="minorHAnsi"/>
                <w:sz w:val="20"/>
                <w:szCs w:val="20"/>
                <w:lang w:val="en-GB"/>
              </w:rPr>
            </w:pPr>
          </w:p>
        </w:tc>
      </w:tr>
      <w:tr w14:paraId="7594F1B6">
        <w:trPr>
          <w:trHeight w:val="300" w:hRule="atLeast"/>
          <w:jc w:val="center"/>
        </w:trPr>
        <w:tc>
          <w:tcPr>
            <w:tcW w:w="3900" w:type="dxa"/>
            <w:tcBorders>
              <w:top w:val="single" w:color="auto" w:sz="4" w:space="0"/>
              <w:left w:val="single" w:color="auto" w:sz="4" w:space="0"/>
              <w:bottom w:val="single" w:color="auto" w:sz="4" w:space="0"/>
              <w:right w:val="single" w:color="auto" w:sz="4" w:space="0"/>
            </w:tcBorders>
            <w:shd w:val="clear" w:color="auto" w:fill="ECECEC" w:themeFill="accent3" w:themeFillTint="33"/>
          </w:tcPr>
          <w:p w14:paraId="7388772E">
            <w:pPr>
              <w:jc w:val="right"/>
              <w:rPr>
                <w:rFonts w:cstheme="minorHAnsi"/>
                <w:b/>
                <w:bCs/>
                <w:sz w:val="20"/>
                <w:szCs w:val="20"/>
                <w:lang w:val="en-GB"/>
              </w:rPr>
            </w:pPr>
          </w:p>
        </w:tc>
        <w:tc>
          <w:tcPr>
            <w:tcW w:w="1020" w:type="dxa"/>
            <w:tcBorders>
              <w:top w:val="single" w:color="auto" w:sz="4" w:space="0"/>
              <w:left w:val="single" w:color="auto" w:sz="4" w:space="0"/>
              <w:bottom w:val="single" w:color="auto" w:sz="4" w:space="0"/>
              <w:right w:val="single" w:color="auto" w:sz="4" w:space="0"/>
            </w:tcBorders>
            <w:shd w:val="clear" w:color="auto" w:fill="ECECEC" w:themeFill="accent3" w:themeFillTint="33"/>
            <w:vAlign w:val="center"/>
          </w:tcPr>
          <w:p w14:paraId="55511978">
            <w:pPr>
              <w:jc w:val="center"/>
              <w:rPr>
                <w:rFonts w:cstheme="minorHAnsi"/>
                <w:b/>
                <w:bCs/>
                <w:sz w:val="20"/>
                <w:szCs w:val="20"/>
                <w:lang w:val="en-GB"/>
              </w:rPr>
            </w:pPr>
          </w:p>
        </w:tc>
        <w:tc>
          <w:tcPr>
            <w:tcW w:w="690" w:type="dxa"/>
            <w:tcBorders>
              <w:top w:val="single" w:color="auto" w:sz="4" w:space="0"/>
              <w:left w:val="single" w:color="auto" w:sz="4" w:space="0"/>
              <w:bottom w:val="single" w:color="auto" w:sz="4" w:space="0"/>
              <w:right w:val="single" w:color="auto" w:sz="4" w:space="0"/>
            </w:tcBorders>
          </w:tcPr>
          <w:p w14:paraId="234AF0E1">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0D07AAE1">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7A33239F">
            <w:pPr>
              <w:rPr>
                <w:rFonts w:cstheme="minorHAnsi"/>
                <w:sz w:val="20"/>
                <w:szCs w:val="20"/>
                <w:lang w:val="en-GB"/>
              </w:rPr>
            </w:pPr>
          </w:p>
        </w:tc>
        <w:tc>
          <w:tcPr>
            <w:tcW w:w="705" w:type="dxa"/>
            <w:tcBorders>
              <w:top w:val="single" w:color="auto" w:sz="4" w:space="0"/>
              <w:left w:val="single" w:color="auto" w:sz="4" w:space="0"/>
              <w:bottom w:val="single" w:color="auto" w:sz="4" w:space="0"/>
              <w:right w:val="single" w:color="auto" w:sz="4" w:space="0"/>
            </w:tcBorders>
          </w:tcPr>
          <w:p w14:paraId="16EA7935">
            <w:pPr>
              <w:rPr>
                <w:rFonts w:cstheme="minorHAnsi"/>
                <w:sz w:val="20"/>
                <w:szCs w:val="20"/>
                <w:lang w:val="en-GB"/>
              </w:rPr>
            </w:pPr>
          </w:p>
        </w:tc>
        <w:tc>
          <w:tcPr>
            <w:tcW w:w="645" w:type="dxa"/>
            <w:tcBorders>
              <w:top w:val="single" w:color="auto" w:sz="4" w:space="0"/>
              <w:left w:val="single" w:color="auto" w:sz="4" w:space="0"/>
              <w:bottom w:val="single" w:color="auto" w:sz="4" w:space="0"/>
              <w:right w:val="single" w:color="auto" w:sz="4" w:space="0"/>
            </w:tcBorders>
          </w:tcPr>
          <w:p w14:paraId="3C38B634">
            <w:pPr>
              <w:rPr>
                <w:rFonts w:cstheme="minorHAnsi"/>
                <w:sz w:val="20"/>
                <w:szCs w:val="20"/>
                <w:lang w:val="en-GB"/>
              </w:rPr>
            </w:pPr>
          </w:p>
        </w:tc>
        <w:tc>
          <w:tcPr>
            <w:tcW w:w="585" w:type="dxa"/>
            <w:tcBorders>
              <w:top w:val="single" w:color="auto" w:sz="4" w:space="0"/>
              <w:left w:val="single" w:color="auto" w:sz="4" w:space="0"/>
              <w:bottom w:val="single" w:color="auto" w:sz="4" w:space="0"/>
              <w:right w:val="single" w:color="auto" w:sz="4" w:space="0"/>
            </w:tcBorders>
          </w:tcPr>
          <w:p w14:paraId="66B2BB76">
            <w:pPr>
              <w:rPr>
                <w:rFonts w:cstheme="minorHAnsi"/>
                <w:sz w:val="20"/>
                <w:szCs w:val="20"/>
                <w:lang w:val="en-GB"/>
              </w:rPr>
            </w:pPr>
          </w:p>
        </w:tc>
        <w:tc>
          <w:tcPr>
            <w:tcW w:w="736" w:type="dxa"/>
            <w:tcBorders>
              <w:top w:val="single" w:color="auto" w:sz="4" w:space="0"/>
              <w:left w:val="single" w:color="auto" w:sz="4" w:space="0"/>
              <w:bottom w:val="single" w:color="auto" w:sz="4" w:space="0"/>
              <w:right w:val="single" w:color="auto" w:sz="4" w:space="0"/>
            </w:tcBorders>
          </w:tcPr>
          <w:p w14:paraId="71CE7E26">
            <w:pPr>
              <w:rPr>
                <w:rFonts w:cstheme="minorHAnsi"/>
                <w:sz w:val="20"/>
                <w:szCs w:val="20"/>
                <w:lang w:val="en-GB"/>
              </w:rPr>
            </w:pPr>
          </w:p>
        </w:tc>
        <w:tc>
          <w:tcPr>
            <w:tcW w:w="569" w:type="dxa"/>
            <w:tcBorders>
              <w:top w:val="single" w:color="auto" w:sz="4" w:space="0"/>
              <w:left w:val="single" w:color="auto" w:sz="4" w:space="0"/>
              <w:bottom w:val="single" w:color="auto" w:sz="4" w:space="0"/>
              <w:right w:val="single" w:color="auto" w:sz="4" w:space="0"/>
            </w:tcBorders>
          </w:tcPr>
          <w:p w14:paraId="19CA614E">
            <w:pPr>
              <w:rPr>
                <w:rFonts w:cstheme="minorHAnsi"/>
                <w:sz w:val="20"/>
                <w:szCs w:val="20"/>
                <w:lang w:val="en-GB"/>
              </w:rPr>
            </w:pPr>
          </w:p>
        </w:tc>
        <w:tc>
          <w:tcPr>
            <w:tcW w:w="553" w:type="dxa"/>
            <w:tcBorders>
              <w:top w:val="single" w:color="auto" w:sz="4" w:space="0"/>
              <w:left w:val="single" w:color="auto" w:sz="4" w:space="0"/>
              <w:bottom w:val="single" w:color="auto" w:sz="4" w:space="0"/>
              <w:right w:val="single" w:color="auto" w:sz="4" w:space="0"/>
            </w:tcBorders>
          </w:tcPr>
          <w:p w14:paraId="0403BD97">
            <w:pPr>
              <w:rPr>
                <w:rFonts w:cstheme="minorHAnsi"/>
                <w:sz w:val="20"/>
                <w:szCs w:val="20"/>
                <w:lang w:val="en-GB"/>
              </w:rPr>
            </w:pPr>
          </w:p>
        </w:tc>
        <w:tc>
          <w:tcPr>
            <w:tcW w:w="542" w:type="dxa"/>
            <w:tcBorders>
              <w:top w:val="single" w:color="auto" w:sz="4" w:space="0"/>
              <w:left w:val="single" w:color="auto" w:sz="4" w:space="0"/>
              <w:bottom w:val="single" w:color="auto" w:sz="4" w:space="0"/>
              <w:right w:val="single" w:color="auto" w:sz="4" w:space="0"/>
            </w:tcBorders>
          </w:tcPr>
          <w:p w14:paraId="1E8CEB93">
            <w:pPr>
              <w:rPr>
                <w:rFonts w:cstheme="minorHAnsi"/>
                <w:sz w:val="20"/>
                <w:szCs w:val="20"/>
                <w:lang w:val="en-GB"/>
              </w:rPr>
            </w:pPr>
          </w:p>
        </w:tc>
        <w:tc>
          <w:tcPr>
            <w:tcW w:w="577" w:type="dxa"/>
            <w:tcBorders>
              <w:top w:val="single" w:color="auto" w:sz="4" w:space="0"/>
              <w:left w:val="single" w:color="auto" w:sz="4" w:space="0"/>
              <w:bottom w:val="single" w:color="auto" w:sz="4" w:space="0"/>
              <w:right w:val="single" w:color="auto" w:sz="4" w:space="0"/>
            </w:tcBorders>
          </w:tcPr>
          <w:p w14:paraId="1F363634">
            <w:pPr>
              <w:rPr>
                <w:rFonts w:cstheme="minorHAnsi"/>
                <w:sz w:val="20"/>
                <w:szCs w:val="20"/>
                <w:lang w:val="en-GB"/>
              </w:rPr>
            </w:pPr>
          </w:p>
        </w:tc>
        <w:tc>
          <w:tcPr>
            <w:tcW w:w="559" w:type="dxa"/>
            <w:tcBorders>
              <w:top w:val="single" w:color="auto" w:sz="4" w:space="0"/>
              <w:left w:val="single" w:color="auto" w:sz="4" w:space="0"/>
              <w:bottom w:val="single" w:color="auto" w:sz="4" w:space="0"/>
              <w:right w:val="single" w:color="auto" w:sz="4" w:space="0"/>
            </w:tcBorders>
          </w:tcPr>
          <w:p w14:paraId="7DCA2D86">
            <w:pPr>
              <w:rPr>
                <w:rFonts w:cstheme="minorHAnsi"/>
                <w:sz w:val="20"/>
                <w:szCs w:val="20"/>
                <w:lang w:val="en-GB"/>
              </w:rPr>
            </w:pPr>
          </w:p>
        </w:tc>
        <w:tc>
          <w:tcPr>
            <w:tcW w:w="649" w:type="dxa"/>
            <w:tcBorders>
              <w:top w:val="single" w:color="auto" w:sz="4" w:space="0"/>
              <w:left w:val="single" w:color="auto" w:sz="4" w:space="0"/>
              <w:bottom w:val="single" w:color="auto" w:sz="4" w:space="0"/>
              <w:right w:val="single" w:color="auto" w:sz="4" w:space="0"/>
            </w:tcBorders>
          </w:tcPr>
          <w:p w14:paraId="50415634">
            <w:pPr>
              <w:rPr>
                <w:rFonts w:cstheme="minorHAnsi"/>
                <w:sz w:val="20"/>
                <w:szCs w:val="20"/>
                <w:lang w:val="en-GB"/>
              </w:rPr>
            </w:pPr>
          </w:p>
        </w:tc>
      </w:tr>
    </w:tbl>
    <w:p w14:paraId="51E08C06">
      <w:pPr>
        <w:rPr>
          <w:rFonts w:cstheme="minorHAnsi"/>
          <w:lang w:val="en-GB"/>
        </w:rPr>
      </w:pPr>
    </w:p>
    <w:p w14:paraId="7F4FFC46">
      <w:pPr>
        <w:rPr>
          <w:rFonts w:cstheme="minorHAnsi"/>
          <w:lang w:val="en-GB"/>
        </w:rPr>
      </w:pPr>
    </w:p>
    <w:p w14:paraId="77872CD6">
      <w:pPr>
        <w:rPr>
          <w:rFonts w:cstheme="minorHAnsi"/>
          <w:lang w:val="en-GB"/>
        </w:rPr>
      </w:pPr>
    </w:p>
    <w:p w14:paraId="24746613">
      <w:pPr>
        <w:rPr>
          <w:rFonts w:cstheme="minorHAnsi"/>
          <w:lang w:val="en-GB"/>
        </w:rPr>
      </w:pPr>
    </w:p>
    <w:p w14:paraId="681E62B1">
      <w:pPr>
        <w:rPr>
          <w:rFonts w:cstheme="minorHAnsi"/>
          <w:lang w:val="en-GB"/>
        </w:rPr>
      </w:pPr>
    </w:p>
    <w:p w14:paraId="1FB7C784">
      <w:pPr>
        <w:rPr>
          <w:rFonts w:cstheme="minorHAnsi"/>
          <w:lang w:val="en-GB"/>
        </w:rPr>
      </w:pPr>
    </w:p>
    <w:p w14:paraId="5895A249">
      <w:pPr>
        <w:rPr>
          <w:rFonts w:cstheme="minorHAnsi"/>
          <w:lang w:val="en-GB"/>
        </w:rPr>
      </w:pPr>
    </w:p>
    <w:p w14:paraId="5E6F737D">
      <w:pPr>
        <w:rPr>
          <w:rFonts w:cstheme="minorHAnsi"/>
          <w:lang w:val="en-GB"/>
        </w:rPr>
      </w:pPr>
    </w:p>
    <w:p w14:paraId="63C4AA80">
      <w:pPr>
        <w:rPr>
          <w:rFonts w:cstheme="minorHAnsi"/>
          <w:lang w:val="en-GB"/>
        </w:rPr>
      </w:pPr>
    </w:p>
    <w:p w14:paraId="18338B1A">
      <w:pPr>
        <w:rPr>
          <w:rFonts w:cstheme="minorHAnsi"/>
          <w:lang w:val="en-GB"/>
        </w:rPr>
      </w:pPr>
    </w:p>
    <w:p w14:paraId="2BA4B5F9">
      <w:pPr>
        <w:rPr>
          <w:rFonts w:cstheme="minorHAnsi"/>
          <w:lang w:val="en-GB"/>
        </w:rPr>
      </w:pPr>
    </w:p>
    <w:p w14:paraId="5797933F">
      <w:pPr>
        <w:rPr>
          <w:rFonts w:cstheme="minorHAnsi"/>
          <w:lang w:val="en-GB"/>
        </w:rPr>
      </w:pPr>
    </w:p>
    <w:p w14:paraId="1C84B5B6">
      <w:pPr>
        <w:rPr>
          <w:rFonts w:cstheme="minorHAnsi"/>
          <w:lang w:val="en-GB"/>
        </w:rPr>
      </w:pPr>
    </w:p>
    <w:p w14:paraId="4FDCB19D">
      <w:pPr>
        <w:rPr>
          <w:rFonts w:cstheme="minorHAnsi"/>
          <w:lang w:val="en-GB"/>
        </w:rPr>
      </w:pPr>
    </w:p>
    <w:p w14:paraId="12E65607">
      <w:pPr>
        <w:rPr>
          <w:rFonts w:cstheme="minorHAnsi"/>
          <w:lang w:val="en-GB"/>
        </w:rPr>
      </w:pPr>
    </w:p>
    <w:p w14:paraId="0A39BC98">
      <w:pPr>
        <w:rPr>
          <w:rFonts w:cstheme="minorHAnsi"/>
          <w:lang w:val="en-GB"/>
        </w:rPr>
      </w:pPr>
    </w:p>
    <w:p w14:paraId="243C43E0">
      <w:pPr>
        <w:rPr>
          <w:rFonts w:cstheme="minorHAnsi"/>
          <w:lang w:val="en-GB"/>
        </w:rPr>
      </w:pPr>
    </w:p>
    <w:p w14:paraId="49F5282C">
      <w:pPr>
        <w:rPr>
          <w:rFonts w:cstheme="minorHAnsi"/>
          <w:lang w:val="en-GB"/>
        </w:rPr>
      </w:pPr>
    </w:p>
    <w:p w14:paraId="3DFB0ED2">
      <w:pPr>
        <w:rPr>
          <w:rFonts w:cstheme="minorHAnsi"/>
          <w:lang w:val="en-GB"/>
        </w:rPr>
      </w:pPr>
    </w:p>
    <w:p w14:paraId="05807802">
      <w:pPr>
        <w:rPr>
          <w:rFonts w:cstheme="minorHAnsi"/>
          <w:lang w:val="en-GB"/>
        </w:rPr>
      </w:pPr>
    </w:p>
    <w:p w14:paraId="0D4FAB12">
      <w:pPr>
        <w:rPr>
          <w:rFonts w:cstheme="minorHAnsi"/>
          <w:lang w:val="en-GB"/>
        </w:rPr>
      </w:pPr>
    </w:p>
    <w:p w14:paraId="3C77BF94">
      <w:pPr>
        <w:rPr>
          <w:rFonts w:cstheme="minorHAnsi"/>
          <w:lang w:val="en-GB"/>
        </w:rPr>
        <w:sectPr>
          <w:pgSz w:w="15840" w:h="12240" w:orient="landscape"/>
          <w:pgMar w:top="1440" w:right="1440" w:bottom="1440" w:left="1440" w:header="720" w:footer="720" w:gutter="0"/>
          <w:cols w:space="720" w:num="1"/>
          <w:docGrid w:linePitch="360" w:charSpace="0"/>
        </w:sectPr>
      </w:pPr>
    </w:p>
    <w:p w14:paraId="150E35D0">
      <w:pPr>
        <w:pStyle w:val="2"/>
        <w:numPr>
          <w:ilvl w:val="0"/>
          <w:numId w:val="4"/>
        </w:numPr>
        <w:rPr>
          <w:rFonts w:asciiTheme="minorHAnsi" w:hAnsiTheme="minorHAnsi" w:cstheme="minorHAnsi"/>
          <w:lang w:val="en-GB" w:eastAsia="ja-JP"/>
        </w:rPr>
      </w:pPr>
      <w:bookmarkStart w:id="8" w:name="_Toc8832258"/>
      <w:r>
        <w:rPr>
          <w:rFonts w:asciiTheme="minorHAnsi" w:hAnsiTheme="minorHAnsi" w:cstheme="minorHAnsi"/>
          <w:lang w:val="en-GB" w:eastAsia="ja-JP"/>
        </w:rPr>
        <w:t>Mandatory Annexes</w:t>
      </w:r>
      <w:bookmarkEnd w:id="8"/>
    </w:p>
    <w:p w14:paraId="5D331685">
      <w:pPr>
        <w:pStyle w:val="3"/>
        <w:rPr>
          <w:rFonts w:asciiTheme="minorHAnsi" w:hAnsiTheme="minorHAnsi" w:cstheme="minorHAnsi"/>
          <w:lang w:eastAsia="ja-JP"/>
        </w:rPr>
      </w:pPr>
    </w:p>
    <w:p w14:paraId="0BF3E1BC">
      <w:pPr>
        <w:pStyle w:val="3"/>
        <w:ind w:left="360"/>
        <w:rPr>
          <w:rFonts w:asciiTheme="minorHAnsi" w:hAnsiTheme="minorHAnsi" w:cstheme="minorHAnsi"/>
          <w:lang w:eastAsia="ja-JP"/>
        </w:rPr>
      </w:pPr>
      <w:bookmarkStart w:id="9" w:name="_Toc8832259"/>
      <w:r>
        <w:rPr>
          <w:rFonts w:asciiTheme="minorHAnsi" w:hAnsiTheme="minorHAnsi" w:cstheme="minorHAnsi"/>
          <w:lang w:eastAsia="ja-JP"/>
        </w:rPr>
        <w:t>Annex 1: GEF CEO PIF/PPG Approval Letter</w:t>
      </w:r>
      <w:bookmarkEnd w:id="9"/>
    </w:p>
    <w:p w14:paraId="1748C526">
      <w:pPr>
        <w:ind w:left="360"/>
        <w:rPr>
          <w:rFonts w:cstheme="minorHAnsi"/>
        </w:rPr>
      </w:pPr>
      <w:r>
        <w:rPr>
          <w:rFonts w:cstheme="minorHAnsi"/>
        </w:rPr>
        <w:drawing>
          <wp:inline distT="0" distB="0" distL="0" distR="0">
            <wp:extent cx="5076825" cy="7359650"/>
            <wp:effectExtent l="0" t="0" r="0" b="0"/>
            <wp:docPr id="428826397" name="Picture 428826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26397" name="Picture 428826397"/>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092504" cy="7382420"/>
                    </a:xfrm>
                    <a:prstGeom prst="rect">
                      <a:avLst/>
                    </a:prstGeom>
                  </pic:spPr>
                </pic:pic>
              </a:graphicData>
            </a:graphic>
          </wp:inline>
        </w:drawing>
      </w:r>
    </w:p>
    <w:p w14:paraId="601327A0">
      <w:pPr>
        <w:rPr>
          <w:rFonts w:cstheme="minorHAnsi"/>
          <w:lang w:val="en-GB" w:eastAsia="ja-JP"/>
        </w:rPr>
      </w:pPr>
      <w:r>
        <w:rPr>
          <w:rFonts w:cstheme="minorHAnsi"/>
        </w:rPr>
        <w:drawing>
          <wp:inline distT="0" distB="0" distL="0" distR="0">
            <wp:extent cx="5467350" cy="5102225"/>
            <wp:effectExtent l="0" t="0" r="0" b="3175"/>
            <wp:docPr id="254834568" name="Picture 25483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834568" name="Picture 254834568"/>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481428" cy="5115548"/>
                    </a:xfrm>
                    <a:prstGeom prst="rect">
                      <a:avLst/>
                    </a:prstGeom>
                  </pic:spPr>
                </pic:pic>
              </a:graphicData>
            </a:graphic>
          </wp:inline>
        </w:drawing>
      </w:r>
    </w:p>
    <w:p w14:paraId="3412F540">
      <w:pPr>
        <w:rPr>
          <w:rFonts w:cstheme="minorHAnsi"/>
          <w:lang w:val="en-GB" w:eastAsia="ja-JP"/>
        </w:rPr>
      </w:pPr>
    </w:p>
    <w:p w14:paraId="5296BC44">
      <w:pPr>
        <w:rPr>
          <w:rFonts w:cstheme="minorHAnsi"/>
          <w:lang w:val="en-GB" w:eastAsia="ja-JP"/>
        </w:rPr>
      </w:pPr>
    </w:p>
    <w:p w14:paraId="43E55B60">
      <w:pPr>
        <w:rPr>
          <w:rFonts w:cstheme="minorHAnsi"/>
          <w:lang w:val="en-GB" w:eastAsia="ja-JP"/>
        </w:rPr>
      </w:pPr>
    </w:p>
    <w:p w14:paraId="056C91D9">
      <w:pPr>
        <w:rPr>
          <w:rFonts w:cstheme="minorHAnsi"/>
          <w:lang w:val="en-GB" w:eastAsia="ja-JP"/>
        </w:rPr>
      </w:pPr>
    </w:p>
    <w:p w14:paraId="4A238DBB">
      <w:pPr>
        <w:rPr>
          <w:rFonts w:cstheme="minorHAnsi"/>
          <w:lang w:val="en-GB" w:eastAsia="ja-JP"/>
        </w:rPr>
      </w:pPr>
    </w:p>
    <w:p w14:paraId="59E3FFB6">
      <w:pPr>
        <w:rPr>
          <w:rFonts w:cstheme="minorHAnsi"/>
          <w:lang w:val="en-GB" w:eastAsia="ja-JP"/>
        </w:rPr>
        <w:sectPr>
          <w:pgSz w:w="12240" w:h="15840"/>
          <w:pgMar w:top="1440" w:right="1440" w:bottom="1440" w:left="1440" w:header="720" w:footer="720" w:gutter="0"/>
          <w:cols w:space="720" w:num="1"/>
          <w:docGrid w:linePitch="360" w:charSpace="0"/>
        </w:sectPr>
      </w:pPr>
    </w:p>
    <w:p w14:paraId="065EB07B">
      <w:pPr>
        <w:pStyle w:val="3"/>
        <w:rPr>
          <w:rFonts w:asciiTheme="minorHAnsi" w:hAnsiTheme="minorHAnsi" w:cstheme="minorHAnsi"/>
          <w:lang w:eastAsia="ja-JP"/>
        </w:rPr>
      </w:pPr>
      <w:bookmarkStart w:id="10" w:name="_Toc24718280"/>
      <w:bookmarkStart w:id="11" w:name="_Toc8832260"/>
      <w:r>
        <w:rPr>
          <w:rFonts w:asciiTheme="minorHAnsi" w:hAnsiTheme="minorHAnsi" w:cstheme="minorHAnsi"/>
          <w:lang w:eastAsia="ja-JP"/>
        </w:rPr>
        <w:t>Annex 2: Draft Terms of Reference (TORs) of Consultants Financed by the Project Preparatory Grant (GEF PPG)</w:t>
      </w:r>
      <w:bookmarkEnd w:id="10"/>
    </w:p>
    <w:p w14:paraId="79A50D5C">
      <w:pPr>
        <w:pStyle w:val="12"/>
        <w:rPr>
          <w:rFonts w:cstheme="minorHAnsi"/>
          <w:sz w:val="22"/>
          <w:szCs w:val="22"/>
        </w:rPr>
      </w:pPr>
    </w:p>
    <w:p w14:paraId="4BFE88D8">
      <w:pPr>
        <w:rPr>
          <w:rFonts w:cstheme="minorHAnsi"/>
          <w:lang w:val="en-GB" w:eastAsia="ja-JP"/>
        </w:rPr>
      </w:pPr>
    </w:p>
    <w:tbl>
      <w:tblPr>
        <w:tblStyle w:val="2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3"/>
        <w:gridCol w:w="7564"/>
      </w:tblGrid>
      <w:tr w14:paraId="405D9D7C">
        <w:tc>
          <w:tcPr>
            <w:tcW w:w="1673" w:type="dxa"/>
            <w:shd w:val="clear" w:color="auto" w:fill="ECECEC" w:themeFill="accent3" w:themeFillTint="33"/>
          </w:tcPr>
          <w:p w14:paraId="7ED49B36">
            <w:pPr>
              <w:rPr>
                <w:rFonts w:cstheme="minorHAnsi"/>
                <w:b/>
                <w:lang w:val="en-GB" w:eastAsia="ja-JP"/>
              </w:rPr>
            </w:pPr>
            <w:r>
              <w:rPr>
                <w:rFonts w:cstheme="minorHAnsi"/>
                <w:b/>
                <w:lang w:val="en-GB" w:eastAsia="ja-JP"/>
              </w:rPr>
              <w:t xml:space="preserve">  Position, Type and Cost</w:t>
            </w:r>
          </w:p>
        </w:tc>
        <w:tc>
          <w:tcPr>
            <w:tcW w:w="7564" w:type="dxa"/>
            <w:shd w:val="clear" w:color="auto" w:fill="ECECEC" w:themeFill="accent3" w:themeFillTint="33"/>
          </w:tcPr>
          <w:p w14:paraId="3D53512A">
            <w:pPr>
              <w:rPr>
                <w:rFonts w:cstheme="minorHAnsi"/>
                <w:b/>
                <w:lang w:val="en-GB" w:eastAsia="ja-JP"/>
              </w:rPr>
            </w:pPr>
            <w:r>
              <w:rPr>
                <w:rFonts w:cstheme="minorHAnsi"/>
                <w:b/>
                <w:lang w:val="en-GB" w:eastAsia="ja-JP"/>
              </w:rPr>
              <w:t>Role, Deliverables and Qualifications</w:t>
            </w:r>
          </w:p>
        </w:tc>
      </w:tr>
      <w:tr w14:paraId="6F313EE2">
        <w:tc>
          <w:tcPr>
            <w:tcW w:w="1673" w:type="dxa"/>
          </w:tcPr>
          <w:p w14:paraId="626F8718">
            <w:pPr>
              <w:rPr>
                <w:rFonts w:cstheme="minorHAnsi"/>
                <w:b/>
                <w:sz w:val="20"/>
                <w:szCs w:val="20"/>
                <w:lang w:val="en-GB" w:eastAsia="ja-JP"/>
              </w:rPr>
            </w:pPr>
            <w:r>
              <w:rPr>
                <w:rFonts w:cstheme="minorHAnsi"/>
                <w:b/>
                <w:sz w:val="20"/>
                <w:szCs w:val="20"/>
                <w:u w:val="single"/>
                <w:lang w:val="en-GB" w:eastAsia="ja-JP"/>
              </w:rPr>
              <w:t>Consultant 1:</w:t>
            </w:r>
            <w:r>
              <w:rPr>
                <w:rFonts w:cstheme="minorHAnsi"/>
                <w:b/>
                <w:sz w:val="20"/>
                <w:szCs w:val="20"/>
                <w:lang w:val="en-GB" w:eastAsia="ja-JP"/>
              </w:rPr>
              <w:t xml:space="preserve"> </w:t>
            </w:r>
            <w:r>
              <w:rPr>
                <w:rFonts w:cstheme="minorHAnsi"/>
                <w:sz w:val="20"/>
                <w:szCs w:val="20"/>
                <w:lang w:val="en-GB" w:eastAsia="ja-JP"/>
              </w:rPr>
              <w:t>International Project Development Specialist (GEF PPG Team Leader)</w:t>
            </w:r>
          </w:p>
          <w:p w14:paraId="6B9E96E2">
            <w:pPr>
              <w:rPr>
                <w:rFonts w:cstheme="minorHAnsi"/>
                <w:sz w:val="20"/>
                <w:szCs w:val="20"/>
                <w:lang w:val="en-GB" w:eastAsia="ja-JP"/>
              </w:rPr>
            </w:pPr>
          </w:p>
          <w:p w14:paraId="3E0F3CE9">
            <w:pPr>
              <w:rPr>
                <w:rFonts w:cstheme="minorHAnsi"/>
                <w:sz w:val="20"/>
                <w:szCs w:val="20"/>
                <w:lang w:val="en-GB" w:eastAsia="ja-JP"/>
              </w:rPr>
            </w:pPr>
            <w:r>
              <w:rPr>
                <w:rFonts w:cstheme="minorHAnsi"/>
                <w:b/>
                <w:sz w:val="20"/>
                <w:szCs w:val="20"/>
                <w:lang w:val="en-GB" w:eastAsia="ja-JP"/>
              </w:rPr>
              <w:t>Type:</w:t>
            </w:r>
            <w:r>
              <w:rPr>
                <w:rFonts w:cstheme="minorHAnsi"/>
                <w:sz w:val="20"/>
                <w:szCs w:val="20"/>
                <w:lang w:val="en-GB" w:eastAsia="ja-JP"/>
              </w:rPr>
              <w:t xml:space="preserve"> IC</w:t>
            </w:r>
          </w:p>
          <w:p w14:paraId="69A08431">
            <w:pPr>
              <w:rPr>
                <w:rFonts w:cstheme="minorHAnsi"/>
                <w:sz w:val="20"/>
                <w:szCs w:val="20"/>
                <w:lang w:val="en-GB" w:eastAsia="ja-JP"/>
              </w:rPr>
            </w:pPr>
          </w:p>
          <w:p w14:paraId="4DFC4BED">
            <w:pPr>
              <w:rPr>
                <w:rFonts w:cstheme="minorHAnsi"/>
                <w:sz w:val="20"/>
                <w:szCs w:val="20"/>
                <w:highlight w:val="yellow"/>
                <w:lang w:val="en-GB" w:eastAsia="ja-JP"/>
              </w:rPr>
            </w:pPr>
            <w:r>
              <w:rPr>
                <w:rFonts w:cstheme="minorHAnsi"/>
                <w:b/>
                <w:bCs/>
                <w:sz w:val="20"/>
                <w:szCs w:val="20"/>
                <w:lang w:val="en-GB" w:eastAsia="ja-JP"/>
              </w:rPr>
              <w:t>Cost per person week:</w:t>
            </w:r>
            <w:r>
              <w:rPr>
                <w:rFonts w:cstheme="minorHAnsi"/>
                <w:sz w:val="20"/>
                <w:szCs w:val="20"/>
                <w:lang w:val="en-GB" w:eastAsia="ja-JP"/>
              </w:rPr>
              <w:t xml:space="preserve"> $3,250</w:t>
            </w:r>
          </w:p>
          <w:p w14:paraId="62F9B42A">
            <w:pPr>
              <w:rPr>
                <w:rFonts w:cstheme="minorHAnsi"/>
                <w:sz w:val="20"/>
                <w:szCs w:val="20"/>
                <w:lang w:val="en-GB" w:eastAsia="ja-JP"/>
              </w:rPr>
            </w:pPr>
          </w:p>
          <w:p w14:paraId="20818CC5">
            <w:pPr>
              <w:rPr>
                <w:rFonts w:cstheme="minorHAnsi"/>
                <w:sz w:val="20"/>
                <w:szCs w:val="20"/>
                <w:lang w:val="en-GB" w:eastAsia="ja-JP"/>
              </w:rPr>
            </w:pPr>
            <w:r>
              <w:rPr>
                <w:rFonts w:cstheme="minorHAnsi"/>
                <w:b/>
                <w:bCs/>
                <w:sz w:val="20"/>
                <w:szCs w:val="20"/>
                <w:lang w:val="en-GB" w:eastAsia="ja-JP"/>
              </w:rPr>
              <w:t>Number of person weeks needed:</w:t>
            </w:r>
            <w:r>
              <w:rPr>
                <w:rFonts w:cstheme="minorHAnsi"/>
                <w:sz w:val="20"/>
                <w:szCs w:val="20"/>
                <w:lang w:val="en-GB" w:eastAsia="ja-JP"/>
              </w:rPr>
              <w:t xml:space="preserve"> 12</w:t>
            </w:r>
          </w:p>
          <w:p w14:paraId="25022F6B">
            <w:pPr>
              <w:rPr>
                <w:rFonts w:cstheme="minorHAnsi"/>
                <w:sz w:val="20"/>
                <w:szCs w:val="20"/>
                <w:lang w:val="en-GB" w:eastAsia="ja-JP"/>
              </w:rPr>
            </w:pPr>
          </w:p>
          <w:p w14:paraId="5FE1EB25">
            <w:pPr>
              <w:rPr>
                <w:rFonts w:cstheme="minorHAnsi"/>
                <w:sz w:val="20"/>
                <w:szCs w:val="20"/>
                <w:lang w:val="en-GB" w:eastAsia="ja-JP"/>
              </w:rPr>
            </w:pPr>
          </w:p>
        </w:tc>
        <w:tc>
          <w:tcPr>
            <w:tcW w:w="7564" w:type="dxa"/>
          </w:tcPr>
          <w:p w14:paraId="7906CB05">
            <w:pPr>
              <w:rPr>
                <w:rFonts w:cstheme="minorHAnsi"/>
                <w:b/>
                <w:sz w:val="20"/>
                <w:szCs w:val="20"/>
                <w:lang w:val="en-GB" w:eastAsia="ja-JP"/>
              </w:rPr>
            </w:pPr>
            <w:r>
              <w:rPr>
                <w:rFonts w:cstheme="minorHAnsi"/>
                <w:b/>
                <w:sz w:val="20"/>
                <w:szCs w:val="20"/>
                <w:lang w:val="en-GB" w:eastAsia="ja-JP"/>
              </w:rPr>
              <w:t>Role</w:t>
            </w:r>
          </w:p>
          <w:p w14:paraId="14A78431">
            <w:pPr>
              <w:rPr>
                <w:rFonts w:cstheme="minorHAnsi"/>
                <w:b/>
                <w:sz w:val="20"/>
                <w:szCs w:val="20"/>
                <w:lang w:val="en-GB" w:eastAsia="ja-JP"/>
              </w:rPr>
            </w:pPr>
            <w:r>
              <w:rPr>
                <w:rFonts w:cstheme="minorHAnsi"/>
                <w:sz w:val="20"/>
                <w:szCs w:val="20"/>
                <w:lang w:val="en-GB" w:eastAsia="ja-JP"/>
              </w:rPr>
              <w:t>The International Project Development Specialist will be the GEF PPG Team Leader and will be responsible for quality assurance and timely preparation of all reports and documentation, including the finalized UNDP Project Document (ProDoc) and CEO Endorsement Request, with all mandatory and project specific Annexes and supporting documentation. S/he will be responsible for managing all the consultants on the GEF PPG Team and coordinating the Team’s work.</w:t>
            </w:r>
          </w:p>
          <w:p w14:paraId="79870B90">
            <w:pPr>
              <w:rPr>
                <w:rFonts w:cstheme="minorHAnsi"/>
                <w:b/>
                <w:sz w:val="20"/>
                <w:szCs w:val="20"/>
                <w:lang w:val="en-GB" w:eastAsia="ja-JP"/>
              </w:rPr>
            </w:pPr>
          </w:p>
          <w:p w14:paraId="4CD38341">
            <w:pPr>
              <w:rPr>
                <w:rFonts w:cstheme="minorHAnsi"/>
                <w:b/>
                <w:sz w:val="20"/>
                <w:szCs w:val="20"/>
                <w:lang w:val="en-GB" w:eastAsia="ja-JP"/>
              </w:rPr>
            </w:pPr>
            <w:r>
              <w:rPr>
                <w:rFonts w:cstheme="minorHAnsi"/>
                <w:b/>
                <w:sz w:val="20"/>
                <w:szCs w:val="20"/>
                <w:lang w:val="en-GB" w:eastAsia="ja-JP"/>
              </w:rPr>
              <w:t>Responsibilities and Deliverables</w:t>
            </w:r>
          </w:p>
          <w:p w14:paraId="695F3CD6">
            <w:pPr>
              <w:rPr>
                <w:rFonts w:cstheme="minorHAnsi"/>
                <w:b/>
                <w:sz w:val="20"/>
                <w:szCs w:val="20"/>
                <w:lang w:val="en-GB" w:eastAsia="ja-JP"/>
              </w:rPr>
            </w:pPr>
          </w:p>
          <w:p w14:paraId="05ADD0FC">
            <w:pPr>
              <w:pStyle w:val="56"/>
              <w:numPr>
                <w:ilvl w:val="0"/>
                <w:numId w:val="16"/>
              </w:numPr>
              <w:ind w:left="430"/>
              <w:rPr>
                <w:rFonts w:cstheme="minorHAnsi"/>
                <w:sz w:val="20"/>
                <w:szCs w:val="20"/>
                <w:lang w:val="en-GB" w:eastAsia="ja-JP"/>
              </w:rPr>
            </w:pPr>
            <w:r>
              <w:rPr>
                <w:rFonts w:cstheme="minorHAnsi"/>
                <w:sz w:val="20"/>
                <w:szCs w:val="20"/>
                <w:u w:val="single"/>
                <w:lang w:val="en-GB" w:eastAsia="ja-JP"/>
              </w:rPr>
              <w:t>Management of the GEF PPG Team</w:t>
            </w:r>
          </w:p>
          <w:p w14:paraId="783714F5">
            <w:pPr>
              <w:pStyle w:val="56"/>
              <w:numPr>
                <w:ilvl w:val="1"/>
                <w:numId w:val="16"/>
              </w:numPr>
              <w:ind w:left="691" w:hanging="270"/>
              <w:rPr>
                <w:rFonts w:cstheme="minorHAnsi"/>
                <w:sz w:val="20"/>
                <w:szCs w:val="20"/>
                <w:lang w:val="en-GB" w:eastAsia="ja-JP"/>
              </w:rPr>
            </w:pPr>
            <w:r>
              <w:rPr>
                <w:rFonts w:cstheme="minorHAnsi"/>
                <w:sz w:val="20"/>
                <w:szCs w:val="20"/>
                <w:lang w:val="en-GB" w:eastAsia="ja-JP"/>
              </w:rPr>
              <w:t>Define and submit a detailed methodology and work plan in consultation with the other consultants with clear delegation of responsibilities for the International Consultant (IC) and National Consultants (NCs);</w:t>
            </w:r>
          </w:p>
          <w:p w14:paraId="7CC82655">
            <w:pPr>
              <w:pStyle w:val="56"/>
              <w:numPr>
                <w:ilvl w:val="1"/>
                <w:numId w:val="16"/>
              </w:numPr>
              <w:ind w:left="691" w:hanging="270"/>
              <w:rPr>
                <w:rFonts w:eastAsia="Calibri" w:cstheme="minorHAnsi"/>
                <w:color w:val="000000" w:themeColor="text1"/>
                <w:sz w:val="20"/>
                <w:szCs w:val="20"/>
                <w:lang w:val="en-GB"/>
                <w14:textFill>
                  <w14:solidFill>
                    <w14:schemeClr w14:val="tx1"/>
                  </w14:solidFill>
                </w14:textFill>
              </w:rPr>
            </w:pPr>
            <w:r>
              <w:rPr>
                <w:rFonts w:eastAsia="Calibri" w:cstheme="minorHAnsi"/>
                <w:color w:val="000000" w:themeColor="text1"/>
                <w:sz w:val="20"/>
                <w:szCs w:val="20"/>
                <w:lang w:val="en-GB"/>
                <w14:textFill>
                  <w14:solidFill>
                    <w14:schemeClr w14:val="tx1"/>
                  </w14:solidFill>
                </w14:textFill>
              </w:rPr>
              <w:t>Create and maintain reporting lines in close collaboration with Programme Officer and RTS/RTA;</w:t>
            </w:r>
          </w:p>
          <w:p w14:paraId="742BEACB">
            <w:pPr>
              <w:pStyle w:val="56"/>
              <w:numPr>
                <w:ilvl w:val="1"/>
                <w:numId w:val="16"/>
              </w:numPr>
              <w:ind w:left="691" w:hanging="270"/>
              <w:rPr>
                <w:rFonts w:cstheme="minorHAnsi"/>
                <w:sz w:val="20"/>
                <w:szCs w:val="20"/>
                <w:lang w:val="en-GB" w:eastAsia="ja-JP"/>
              </w:rPr>
            </w:pPr>
            <w:r>
              <w:rPr>
                <w:rFonts w:cstheme="minorHAnsi"/>
                <w:sz w:val="20"/>
                <w:szCs w:val="20"/>
                <w:lang w:val="en-GB" w:eastAsia="ja-JP"/>
              </w:rPr>
              <w:t>Ensure that project development is participatory, socially inclusive and gender-responsive, and based on extensive stakeholder engagements; and</w:t>
            </w:r>
          </w:p>
          <w:p w14:paraId="53DB6E3F">
            <w:pPr>
              <w:pStyle w:val="56"/>
              <w:numPr>
                <w:ilvl w:val="1"/>
                <w:numId w:val="16"/>
              </w:numPr>
              <w:ind w:left="691" w:hanging="270"/>
              <w:rPr>
                <w:rFonts w:cstheme="minorHAnsi"/>
                <w:sz w:val="20"/>
                <w:szCs w:val="20"/>
                <w:lang w:val="en-GB" w:eastAsia="ja-JP"/>
              </w:rPr>
            </w:pPr>
            <w:r>
              <w:rPr>
                <w:rFonts w:cstheme="minorHAnsi"/>
                <w:sz w:val="20"/>
                <w:szCs w:val="20"/>
                <w:lang w:val="en-GB" w:eastAsia="ja-JP"/>
              </w:rPr>
              <w:t>Verify and ensure that all project components are technically sound and cost effective.</w:t>
            </w:r>
          </w:p>
          <w:p w14:paraId="1593D1AB">
            <w:pPr>
              <w:pStyle w:val="56"/>
              <w:numPr>
                <w:ilvl w:val="1"/>
                <w:numId w:val="16"/>
              </w:numPr>
              <w:ind w:left="691" w:hanging="270"/>
              <w:rPr>
                <w:rFonts w:cstheme="minorHAnsi"/>
                <w:lang w:val="en-GB"/>
              </w:rPr>
            </w:pPr>
            <w:r>
              <w:rPr>
                <w:rFonts w:eastAsia="Calibri" w:cstheme="minorHAnsi"/>
                <w:color w:val="000000" w:themeColor="text1"/>
                <w:sz w:val="20"/>
                <w:szCs w:val="20"/>
                <w:lang w:val="en-GB"/>
                <w14:textFill>
                  <w14:solidFill>
                    <w14:schemeClr w14:val="tx1"/>
                  </w14:solidFill>
                </w14:textFill>
              </w:rPr>
              <w:t>Support the development, review and finalization of national and international consultant TORs as required to ensure the effectiveness of their roles and deliverables with the preparation of the Project Documents and their recruitment as necessary</w:t>
            </w:r>
          </w:p>
          <w:p w14:paraId="690FB94D">
            <w:pPr>
              <w:pStyle w:val="56"/>
              <w:numPr>
                <w:ilvl w:val="1"/>
                <w:numId w:val="16"/>
              </w:numPr>
              <w:ind w:left="691" w:hanging="270"/>
              <w:rPr>
                <w:rFonts w:eastAsia="Calibri" w:cstheme="minorHAnsi"/>
                <w:color w:val="000000" w:themeColor="text1"/>
                <w:sz w:val="20"/>
                <w:szCs w:val="20"/>
                <w:lang w:val="en-GB"/>
                <w14:textFill>
                  <w14:solidFill>
                    <w14:schemeClr w14:val="tx1"/>
                  </w14:solidFill>
                </w14:textFill>
              </w:rPr>
            </w:pPr>
            <w:r>
              <w:rPr>
                <w:rFonts w:eastAsia="Calibri" w:cstheme="minorHAnsi"/>
                <w:color w:val="000000" w:themeColor="text1"/>
                <w:sz w:val="20"/>
                <w:szCs w:val="20"/>
                <w:lang w:val="en-GB"/>
                <w14:textFill>
                  <w14:solidFill>
                    <w14:schemeClr w14:val="tx1"/>
                  </w14:solidFill>
                </w14:textFill>
              </w:rPr>
              <w:t>Identify and propose additional studies as required and assign to the PPG Team Members their respective contributions</w:t>
            </w:r>
          </w:p>
          <w:p w14:paraId="6C4FF6BC">
            <w:pPr>
              <w:pStyle w:val="56"/>
              <w:numPr>
                <w:ilvl w:val="1"/>
                <w:numId w:val="16"/>
              </w:numPr>
              <w:ind w:left="691" w:hanging="270"/>
              <w:rPr>
                <w:rFonts w:eastAsia="Calibri" w:cstheme="minorHAnsi"/>
                <w:color w:val="000000" w:themeColor="text1"/>
                <w:sz w:val="20"/>
                <w:szCs w:val="20"/>
                <w:lang w:val="en-GB"/>
                <w14:textFill>
                  <w14:solidFill>
                    <w14:schemeClr w14:val="tx1"/>
                  </w14:solidFill>
                </w14:textFill>
              </w:rPr>
            </w:pPr>
            <w:r>
              <w:rPr>
                <w:rFonts w:eastAsia="Calibri" w:cstheme="minorHAnsi"/>
                <w:color w:val="000000" w:themeColor="text1"/>
                <w:sz w:val="20"/>
                <w:szCs w:val="20"/>
                <w:lang w:val="en-GB"/>
                <w14:textFill>
                  <w14:solidFill>
                    <w14:schemeClr w14:val="tx1"/>
                  </w14:solidFill>
                </w14:textFill>
              </w:rPr>
              <w:t>Identify the interface between priorities and strategic actions can be aligned with the project’s strategy and UNDP’s Nature Pledge’s three shifts</w:t>
            </w:r>
          </w:p>
          <w:p w14:paraId="453D0567">
            <w:pPr>
              <w:pStyle w:val="56"/>
              <w:numPr>
                <w:ilvl w:val="1"/>
                <w:numId w:val="16"/>
              </w:numPr>
              <w:ind w:left="691" w:hanging="270"/>
              <w:rPr>
                <w:rFonts w:eastAsia="Calibri" w:cstheme="minorHAnsi"/>
                <w:color w:val="000000" w:themeColor="text1"/>
                <w:sz w:val="20"/>
                <w:szCs w:val="20"/>
                <w:lang w:val="en-GB"/>
                <w14:textFill>
                  <w14:solidFill>
                    <w14:schemeClr w14:val="tx1"/>
                  </w14:solidFill>
                </w14:textFill>
              </w:rPr>
            </w:pPr>
            <w:r>
              <w:rPr>
                <w:rFonts w:eastAsia="Calibri" w:cstheme="minorHAnsi"/>
                <w:color w:val="000000" w:themeColor="text1"/>
                <w:sz w:val="20"/>
                <w:szCs w:val="20"/>
                <w:lang w:val="en-GB"/>
                <w14:textFill>
                  <w14:solidFill>
                    <w14:schemeClr w14:val="tx1"/>
                  </w14:solidFill>
                </w14:textFill>
              </w:rPr>
              <w:t>Populate a shared online folder with the respective project documentation and maintain updated versions of the documents at the various stages of the project development cycle, including the work plan as per 1a</w:t>
            </w:r>
          </w:p>
          <w:p w14:paraId="24215482">
            <w:pPr>
              <w:pStyle w:val="56"/>
              <w:ind w:left="691"/>
              <w:rPr>
                <w:rFonts w:cstheme="minorHAnsi"/>
                <w:sz w:val="20"/>
                <w:szCs w:val="20"/>
                <w:lang w:val="en-GB" w:eastAsia="ja-JP"/>
              </w:rPr>
            </w:pPr>
          </w:p>
          <w:p w14:paraId="2DB3CF1A">
            <w:pPr>
              <w:pStyle w:val="56"/>
              <w:numPr>
                <w:ilvl w:val="0"/>
                <w:numId w:val="16"/>
              </w:numPr>
              <w:ind w:left="430"/>
              <w:rPr>
                <w:rFonts w:cstheme="minorHAnsi"/>
                <w:sz w:val="20"/>
                <w:szCs w:val="20"/>
                <w:lang w:val="en-GB" w:eastAsia="ja-JP"/>
              </w:rPr>
            </w:pPr>
            <w:r>
              <w:rPr>
                <w:rFonts w:cstheme="minorHAnsi"/>
                <w:sz w:val="20"/>
                <w:szCs w:val="20"/>
                <w:u w:val="single"/>
                <w:lang w:val="en-GB" w:eastAsia="ja-JP"/>
              </w:rPr>
              <w:t>Preparatory Technical Studies and Reviews (Component A)</w:t>
            </w:r>
            <w:r>
              <w:rPr>
                <w:rFonts w:cstheme="minorHAnsi"/>
                <w:sz w:val="20"/>
                <w:szCs w:val="20"/>
                <w:lang w:val="en-GB" w:eastAsia="ja-JP"/>
              </w:rPr>
              <w:t>: With inputs from the national consultants, as detailed in their respective TORs:</w:t>
            </w:r>
          </w:p>
          <w:p w14:paraId="661CE40C">
            <w:pPr>
              <w:pStyle w:val="56"/>
              <w:numPr>
                <w:ilvl w:val="1"/>
                <w:numId w:val="16"/>
              </w:numPr>
              <w:ind w:left="691" w:hanging="270"/>
              <w:rPr>
                <w:rFonts w:cstheme="minorHAnsi"/>
                <w:sz w:val="20"/>
                <w:szCs w:val="20"/>
                <w:lang w:val="en-GB" w:eastAsia="ja-JP"/>
              </w:rPr>
            </w:pPr>
            <w:r>
              <w:rPr>
                <w:rFonts w:cstheme="minorHAnsi"/>
                <w:sz w:val="20"/>
                <w:szCs w:val="20"/>
                <w:lang w:val="en-GB" w:eastAsia="ja-JP"/>
              </w:rPr>
              <w:t>Compile baseline/situational analysis for the full-size project (FSP). This will include a precise definition of baseline projects, activities, budgets, goals and co-financial links to GEF outcomes; definition of GEF incremental value per outcome and output; and presentation of results of the incremental cost-analysis in matrices as appropriate;</w:t>
            </w:r>
          </w:p>
          <w:p w14:paraId="6279184D">
            <w:pPr>
              <w:pStyle w:val="56"/>
              <w:numPr>
                <w:ilvl w:val="1"/>
                <w:numId w:val="16"/>
              </w:numPr>
              <w:ind w:left="691" w:hanging="270"/>
              <w:rPr>
                <w:rFonts w:eastAsia="Calibri" w:cstheme="minorHAnsi"/>
                <w:sz w:val="21"/>
                <w:szCs w:val="21"/>
                <w:lang w:val="en-GB"/>
              </w:rPr>
            </w:pPr>
            <w:r>
              <w:rPr>
                <w:rFonts w:cstheme="minorHAnsi"/>
                <w:sz w:val="20"/>
                <w:szCs w:val="20"/>
                <w:lang w:val="en-GB" w:eastAsia="ja-JP"/>
              </w:rPr>
              <w:t>Apply the designated four-step Nature Pledge methodology to identify the interface between the proposed project and the shifts and targets of the UNDP’s Nature Pledge with the purpose of project alignment</w:t>
            </w:r>
            <w:r>
              <w:rPr>
                <w:rFonts w:eastAsia="Calibri" w:cstheme="minorHAnsi"/>
                <w:sz w:val="21"/>
                <w:szCs w:val="21"/>
                <w:lang w:val="en-GB"/>
              </w:rPr>
              <w:t>;</w:t>
            </w:r>
          </w:p>
          <w:p w14:paraId="36CEE1DC">
            <w:pPr>
              <w:pStyle w:val="56"/>
              <w:numPr>
                <w:ilvl w:val="1"/>
                <w:numId w:val="16"/>
              </w:numPr>
              <w:ind w:left="691" w:hanging="270"/>
              <w:rPr>
                <w:rFonts w:eastAsia="Calibri" w:cstheme="minorHAnsi"/>
                <w:color w:val="000000" w:themeColor="text1"/>
                <w:sz w:val="20"/>
                <w:szCs w:val="20"/>
                <w:lang w:val="en-GB"/>
                <w14:textFill>
                  <w14:solidFill>
                    <w14:schemeClr w14:val="tx1"/>
                  </w14:solidFill>
                </w14:textFill>
              </w:rPr>
            </w:pPr>
            <w:r>
              <w:rPr>
                <w:rFonts w:eastAsia="Calibri" w:cstheme="minorHAnsi"/>
                <w:color w:val="000000" w:themeColor="text1"/>
                <w:sz w:val="20"/>
                <w:szCs w:val="20"/>
                <w:lang w:val="en-GB"/>
                <w14:textFill>
                  <w14:solidFill>
                    <w14:schemeClr w14:val="tx1"/>
                  </w14:solidFill>
                </w14:textFill>
              </w:rPr>
              <w:t>A stocktaking of all baseline projects, their geographical spread, financing and technical capacities to maximize synergies in institutional, operational and technical areas;</w:t>
            </w:r>
          </w:p>
          <w:p w14:paraId="7D6584C3">
            <w:pPr>
              <w:pStyle w:val="56"/>
              <w:numPr>
                <w:ilvl w:val="1"/>
                <w:numId w:val="16"/>
              </w:numPr>
              <w:ind w:left="691" w:hanging="270"/>
              <w:rPr>
                <w:rFonts w:cstheme="minorHAnsi"/>
                <w:sz w:val="20"/>
                <w:szCs w:val="20"/>
                <w:lang w:val="en-GB" w:eastAsia="ja-JP"/>
              </w:rPr>
            </w:pPr>
            <w:r>
              <w:rPr>
                <w:rFonts w:cstheme="minorHAnsi"/>
                <w:sz w:val="20"/>
                <w:szCs w:val="20"/>
                <w:lang w:val="en-GB" w:eastAsia="ja-JP"/>
              </w:rPr>
              <w:t>Lead and oversee the stakeholder analysis and consultations, with support from national consultants, and ensure that they are complete and comprehensive including consultations with the private sector, academic institutions and local communities from project sites;</w:t>
            </w:r>
          </w:p>
          <w:p w14:paraId="3AA315F7">
            <w:pPr>
              <w:pStyle w:val="56"/>
              <w:numPr>
                <w:ilvl w:val="1"/>
                <w:numId w:val="16"/>
              </w:numPr>
              <w:ind w:left="691" w:hanging="270"/>
              <w:rPr>
                <w:rFonts w:cstheme="minorHAnsi"/>
                <w:sz w:val="20"/>
                <w:szCs w:val="20"/>
                <w:lang w:val="en-GB" w:eastAsia="ja-JP"/>
              </w:rPr>
            </w:pPr>
            <w:r>
              <w:rPr>
                <w:rFonts w:eastAsia="Calibri" w:cstheme="minorHAnsi"/>
                <w:sz w:val="20"/>
                <w:szCs w:val="20"/>
                <w:lang w:val="en-GB"/>
              </w:rPr>
              <w:t xml:space="preserve"> Ensure the preparation of the social and gender analysis and ensure its findings are meaningfully integrated into the project’s strategy, theory of change, SESP, and results framework</w:t>
            </w:r>
            <w:r>
              <w:rPr>
                <w:rFonts w:cstheme="minorHAnsi"/>
                <w:sz w:val="20"/>
                <w:szCs w:val="20"/>
                <w:lang w:val="en-GB" w:eastAsia="ja-JP"/>
              </w:rPr>
              <w:t>;</w:t>
            </w:r>
          </w:p>
          <w:p w14:paraId="53C726A0">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 xml:space="preserve"> Ensure action points, including risk assessments, from any SES pre-screening and the PISC process (prepared at the concept note stage) are fully implemented during the PPG; Oversee</w:t>
            </w:r>
            <w:r>
              <w:rPr>
                <w:rFonts w:cstheme="minorHAnsi"/>
                <w:sz w:val="20"/>
                <w:szCs w:val="20"/>
                <w:lang w:val="en-GB" w:eastAsia="ja-JP"/>
              </w:rPr>
              <w:t xml:space="preserve"> the identification of the project sites, with documentation of selection criteria and making sure that geo-referenced data and maps are clearly presented both for targeted protected areas and broader landscapes, as applicable;</w:t>
            </w:r>
          </w:p>
          <w:p w14:paraId="0CF82130">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Oversee the consultations with partners regarding financial planning including co-financing and investment mobilized and deliver in the necessary format;</w:t>
            </w:r>
          </w:p>
          <w:p w14:paraId="1114A042">
            <w:pPr>
              <w:pStyle w:val="56"/>
              <w:numPr>
                <w:ilvl w:val="1"/>
                <w:numId w:val="16"/>
              </w:numPr>
              <w:ind w:left="691" w:hanging="270"/>
              <w:rPr>
                <w:rFonts w:cstheme="minorHAnsi"/>
                <w:sz w:val="20"/>
                <w:szCs w:val="20"/>
                <w:lang w:val="en-GB" w:eastAsia="ja-JP"/>
              </w:rPr>
            </w:pPr>
            <w:r>
              <w:rPr>
                <w:rFonts w:cstheme="minorHAnsi"/>
                <w:sz w:val="20"/>
                <w:szCs w:val="20"/>
                <w:lang w:val="en-GB" w:eastAsia="ja-JP"/>
              </w:rPr>
              <w:t>Ensure the design of appropriate project knowledge management processes and platforms, ensuring appropriate linkages to existing mechanisms and knowledge sharing in project landscapes;</w:t>
            </w:r>
          </w:p>
          <w:p w14:paraId="5F54B44E">
            <w:pPr>
              <w:pStyle w:val="56"/>
              <w:numPr>
                <w:ilvl w:val="1"/>
                <w:numId w:val="16"/>
              </w:numPr>
              <w:ind w:left="691" w:hanging="270"/>
              <w:rPr>
                <w:rFonts w:cstheme="minorHAnsi"/>
                <w:sz w:val="20"/>
                <w:szCs w:val="20"/>
                <w:lang w:val="en-GB" w:eastAsia="ja-JP"/>
              </w:rPr>
            </w:pPr>
            <w:r>
              <w:rPr>
                <w:rFonts w:cstheme="minorHAnsi"/>
                <w:sz w:val="20"/>
                <w:szCs w:val="20"/>
                <w:lang w:val="en-GB" w:eastAsia="ja-JP"/>
              </w:rPr>
              <w:t xml:space="preserve">Lead and oversee the identification of opportunities for private sector engagement and co-financing; </w:t>
            </w:r>
          </w:p>
          <w:p w14:paraId="4F95F43E">
            <w:pPr>
              <w:pStyle w:val="56"/>
              <w:numPr>
                <w:ilvl w:val="1"/>
                <w:numId w:val="16"/>
              </w:numPr>
              <w:ind w:left="691" w:hanging="270"/>
              <w:rPr>
                <w:rFonts w:cstheme="minorHAnsi"/>
                <w:sz w:val="20"/>
                <w:szCs w:val="20"/>
                <w:lang w:val="en-GB" w:eastAsia="ja-JP"/>
              </w:rPr>
            </w:pPr>
            <w:r>
              <w:rPr>
                <w:rFonts w:cstheme="minorHAnsi"/>
                <w:sz w:val="20"/>
                <w:szCs w:val="20"/>
                <w:lang w:val="en-GB" w:eastAsia="ja-JP"/>
              </w:rPr>
              <w:t>Ensure the preparation of partner capacity assessments and discussions on management arrangements early in the PPG process;</w:t>
            </w:r>
          </w:p>
          <w:p w14:paraId="15BE3DAC">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Ensure and oversee the preparation of project-level Grievance Redress Mechanism (GRM) in direct collaboration with the SES specialists; Ensure completion of any additional studies that are determined to be needed   for the preparation of the ProDoc and all other final outputs</w:t>
            </w:r>
          </w:p>
          <w:p w14:paraId="46C7DB8B">
            <w:pPr>
              <w:pStyle w:val="56"/>
              <w:numPr>
                <w:ilvl w:val="1"/>
                <w:numId w:val="16"/>
              </w:numPr>
              <w:ind w:left="691" w:hanging="270"/>
              <w:rPr>
                <w:rFonts w:cstheme="minorHAnsi"/>
                <w:sz w:val="20"/>
                <w:szCs w:val="20"/>
                <w:lang w:val="en-GB" w:eastAsia="ja-JP"/>
              </w:rPr>
            </w:pPr>
            <w:r>
              <w:rPr>
                <w:rFonts w:cstheme="minorHAnsi"/>
                <w:sz w:val="20"/>
                <w:szCs w:val="20"/>
                <w:lang w:val="en-GB" w:eastAsia="ja-JP"/>
              </w:rPr>
              <w:t>Oversee the consultations with partners regarding financial planning; and</w:t>
            </w:r>
          </w:p>
          <w:p w14:paraId="7C3E4859">
            <w:pPr>
              <w:pStyle w:val="56"/>
              <w:numPr>
                <w:ilvl w:val="1"/>
                <w:numId w:val="16"/>
              </w:numPr>
              <w:ind w:left="691" w:hanging="270"/>
              <w:rPr>
                <w:rFonts w:cstheme="minorHAnsi"/>
                <w:sz w:val="20"/>
                <w:szCs w:val="20"/>
                <w:lang w:val="en-GB" w:eastAsia="ja-JP"/>
              </w:rPr>
            </w:pPr>
            <w:r>
              <w:rPr>
                <w:rFonts w:cstheme="minorHAnsi"/>
                <w:sz w:val="20"/>
                <w:szCs w:val="20"/>
                <w:lang w:val="en-GB" w:eastAsia="ja-JP"/>
              </w:rPr>
              <w:t xml:space="preserve">Ensure completion of any additional studies that are determined to be needed for the preparation of the ProDoc and all other final outputs. </w:t>
            </w:r>
          </w:p>
          <w:p w14:paraId="7C6A6AE6">
            <w:pPr>
              <w:pStyle w:val="56"/>
              <w:ind w:left="691"/>
              <w:rPr>
                <w:rFonts w:cstheme="minorHAnsi"/>
                <w:sz w:val="20"/>
                <w:szCs w:val="20"/>
                <w:lang w:val="en-GB" w:eastAsia="ja-JP"/>
              </w:rPr>
            </w:pPr>
          </w:p>
          <w:p w14:paraId="54849720">
            <w:pPr>
              <w:pStyle w:val="56"/>
              <w:numPr>
                <w:ilvl w:val="0"/>
                <w:numId w:val="16"/>
              </w:numPr>
              <w:ind w:left="430"/>
              <w:rPr>
                <w:rFonts w:cstheme="minorHAnsi"/>
                <w:sz w:val="20"/>
                <w:szCs w:val="20"/>
                <w:lang w:val="en-GB" w:eastAsia="ja-JP"/>
              </w:rPr>
            </w:pPr>
            <w:r>
              <w:rPr>
                <w:rFonts w:cstheme="minorHAnsi"/>
                <w:sz w:val="20"/>
                <w:szCs w:val="20"/>
                <w:u w:val="single"/>
                <w:lang w:val="en-GB" w:eastAsia="ja-JP"/>
              </w:rPr>
              <w:t>Formulation of the ProDoc, CEO Endorsement Request and Mandatory and Project Specific Annexes (Component B)</w:t>
            </w:r>
            <w:r>
              <w:rPr>
                <w:rFonts w:cstheme="minorHAnsi"/>
                <w:sz w:val="20"/>
                <w:szCs w:val="20"/>
                <w:lang w:val="en-GB" w:eastAsia="ja-JP"/>
              </w:rPr>
              <w:t>: With inputs from the national consultants, as detailed in their respective TORs, and based on international best practice:</w:t>
            </w:r>
          </w:p>
          <w:p w14:paraId="3C2641B3">
            <w:pPr>
              <w:rPr>
                <w:rFonts w:cstheme="minorHAnsi"/>
                <w:sz w:val="20"/>
                <w:szCs w:val="20"/>
                <w:lang w:val="en-GB" w:eastAsia="ja-JP"/>
              </w:rPr>
            </w:pPr>
          </w:p>
          <w:p w14:paraId="5B8CB4D0">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 xml:space="preserve"> Develop, present and articulate the project’s theory of change, including problem and solution trees developed in consultation with project stakeholders, specifically   considering GEF STAP guidance</w:t>
            </w:r>
          </w:p>
          <w:p w14:paraId="3C36F0EA">
            <w:pPr>
              <w:pStyle w:val="56"/>
              <w:numPr>
                <w:ilvl w:val="1"/>
                <w:numId w:val="16"/>
              </w:numPr>
              <w:ind w:left="691" w:hanging="270"/>
              <w:rPr>
                <w:rFonts w:cstheme="minorHAnsi"/>
                <w:sz w:val="20"/>
                <w:szCs w:val="20"/>
                <w:lang w:val="en-GB" w:eastAsia="ja-JP"/>
              </w:rPr>
            </w:pPr>
            <w:r>
              <w:rPr>
                <w:rFonts w:cstheme="minorHAnsi"/>
                <w:sz w:val="20"/>
                <w:szCs w:val="20"/>
                <w:lang w:val="en-GB" w:eastAsia="ja-JP"/>
              </w:rPr>
              <w:t>Develop the Results Framework in line with UNDP-GEF policy;</w:t>
            </w:r>
          </w:p>
          <w:p w14:paraId="22C50AF7">
            <w:pPr>
              <w:pStyle w:val="56"/>
              <w:numPr>
                <w:ilvl w:val="1"/>
                <w:numId w:val="16"/>
              </w:numPr>
              <w:ind w:left="691" w:hanging="270"/>
              <w:rPr>
                <w:rFonts w:cstheme="minorHAnsi"/>
                <w:sz w:val="20"/>
                <w:szCs w:val="20"/>
                <w:lang w:val="en-GB" w:eastAsia="ja-JP"/>
              </w:rPr>
            </w:pPr>
            <w:r>
              <w:rPr>
                <w:rFonts w:cstheme="minorHAnsi"/>
                <w:sz w:val="20"/>
                <w:szCs w:val="20"/>
                <w:lang w:val="en-GB" w:eastAsia="ja-JP"/>
              </w:rPr>
              <w:t xml:space="preserve">Develop a detailed Monitoring and Evaluation Plan and Budget; </w:t>
            </w:r>
          </w:p>
          <w:p w14:paraId="64C476A3">
            <w:pPr>
              <w:pStyle w:val="56"/>
              <w:numPr>
                <w:ilvl w:val="1"/>
                <w:numId w:val="16"/>
              </w:numPr>
              <w:ind w:left="691" w:hanging="270"/>
              <w:rPr>
                <w:rFonts w:cstheme="minorHAnsi"/>
                <w:lang w:val="en-GB"/>
              </w:rPr>
            </w:pPr>
            <w:r>
              <w:rPr>
                <w:rFonts w:eastAsia="Calibri" w:cstheme="minorHAnsi"/>
                <w:sz w:val="20"/>
                <w:szCs w:val="20"/>
                <w:lang w:val="en-GB"/>
              </w:rPr>
              <w:t xml:space="preserve"> Oversee and ensure the preparation of a Socially Inclusive and Gender Responsive Comprehensive Stakeholder Engagement Plan</w:t>
            </w:r>
          </w:p>
          <w:p w14:paraId="1A00256F">
            <w:pPr>
              <w:pStyle w:val="56"/>
              <w:numPr>
                <w:ilvl w:val="1"/>
                <w:numId w:val="16"/>
              </w:numPr>
              <w:ind w:left="691" w:hanging="270"/>
              <w:rPr>
                <w:rFonts w:cstheme="minorHAnsi"/>
                <w:sz w:val="20"/>
                <w:szCs w:val="20"/>
                <w:lang w:val="en-GB" w:eastAsia="ja-JP"/>
              </w:rPr>
            </w:pPr>
            <w:r>
              <w:rPr>
                <w:rFonts w:cstheme="minorHAnsi"/>
                <w:sz w:val="20"/>
                <w:szCs w:val="20"/>
                <w:lang w:val="en-GB" w:eastAsia="ja-JP"/>
              </w:rPr>
              <w:t>Oversee and ensure the preparation of a Gender Action Plan and Budget;</w:t>
            </w:r>
          </w:p>
          <w:p w14:paraId="61AC7810">
            <w:pPr>
              <w:pStyle w:val="56"/>
              <w:numPr>
                <w:ilvl w:val="1"/>
                <w:numId w:val="16"/>
              </w:numPr>
              <w:ind w:left="691" w:hanging="270"/>
              <w:rPr>
                <w:rFonts w:cstheme="minorHAnsi"/>
                <w:lang w:val="en-GB"/>
              </w:rPr>
            </w:pPr>
            <w:r>
              <w:rPr>
                <w:rFonts w:cstheme="minorHAnsi"/>
                <w:sz w:val="20"/>
                <w:szCs w:val="20"/>
                <w:lang w:val="en-GB" w:eastAsia="ja-JP"/>
              </w:rPr>
              <w:t xml:space="preserve">Oversee and ensure the updating of the SESP based on assessments undertaken during Component A, and ensure the development of required environmental and/or social management plan(s) as required, </w:t>
            </w:r>
            <w:r>
              <w:rPr>
                <w:rFonts w:eastAsia="Calibri" w:cstheme="minorHAnsi"/>
                <w:sz w:val="20"/>
                <w:szCs w:val="20"/>
                <w:lang w:val="en-GB"/>
              </w:rPr>
              <w:t>and that all implementation-phases SES requirements are fully incorporated into the design of the project and its TBWP;</w:t>
            </w:r>
          </w:p>
          <w:p w14:paraId="36DA8574">
            <w:pPr>
              <w:pStyle w:val="56"/>
              <w:numPr>
                <w:ilvl w:val="1"/>
                <w:numId w:val="16"/>
              </w:numPr>
              <w:ind w:left="691" w:hanging="270"/>
              <w:rPr>
                <w:rFonts w:cstheme="minorHAnsi"/>
                <w:lang w:val="en-GB"/>
              </w:rPr>
            </w:pPr>
            <w:r>
              <w:rPr>
                <w:rFonts w:eastAsia="Calibri" w:cstheme="minorHAnsi"/>
                <w:sz w:val="20"/>
                <w:szCs w:val="20"/>
                <w:lang w:val="en-GB"/>
              </w:rPr>
              <w:t>Oversee and ensure appropriate incorporation of the project-level Grievance Redress Mechanism (GRM) in the ProDoc and annexes in collaboration with the SES specialists</w:t>
            </w:r>
          </w:p>
          <w:p w14:paraId="737D0E80">
            <w:pPr>
              <w:pStyle w:val="56"/>
              <w:numPr>
                <w:ilvl w:val="1"/>
                <w:numId w:val="16"/>
              </w:numPr>
              <w:ind w:left="691" w:hanging="270"/>
              <w:rPr>
                <w:rFonts w:cstheme="minorHAnsi"/>
                <w:sz w:val="20"/>
                <w:szCs w:val="20"/>
                <w:lang w:val="en-GB" w:eastAsia="ja-JP"/>
              </w:rPr>
            </w:pPr>
            <w:r>
              <w:rPr>
                <w:rFonts w:cstheme="minorHAnsi"/>
                <w:sz w:val="20"/>
                <w:szCs w:val="20"/>
                <w:lang w:val="en-GB" w:eastAsia="ja-JP"/>
              </w:rPr>
              <w:t xml:space="preserve">Oversee the preparation of the required GEF tracking tools (if required) and GEF Core Indicators and ensure these are supported by robust and validated data; </w:t>
            </w:r>
          </w:p>
          <w:p w14:paraId="7D3C5D8E">
            <w:pPr>
              <w:pStyle w:val="56"/>
              <w:numPr>
                <w:ilvl w:val="1"/>
                <w:numId w:val="16"/>
              </w:numPr>
              <w:ind w:left="691" w:hanging="270"/>
              <w:rPr>
                <w:rFonts w:cstheme="minorHAnsi"/>
                <w:lang w:val="en-GB"/>
              </w:rPr>
            </w:pPr>
            <w:r>
              <w:rPr>
                <w:rFonts w:eastAsia="Calibri" w:cstheme="minorHAnsi"/>
                <w:sz w:val="20"/>
                <w:szCs w:val="20"/>
                <w:lang w:val="en-GB"/>
              </w:rPr>
              <w:t>Work with the UNDP Country Office to select indicators for the respective outcomes of the UNDP Strategic Plan Integrated Results and Resources Framework (IRRF) as necessary</w:t>
            </w:r>
          </w:p>
          <w:p w14:paraId="0763165F">
            <w:pPr>
              <w:pStyle w:val="56"/>
              <w:numPr>
                <w:ilvl w:val="1"/>
                <w:numId w:val="16"/>
              </w:numPr>
              <w:ind w:left="691" w:hanging="270"/>
              <w:rPr>
                <w:rFonts w:cstheme="minorHAnsi"/>
                <w:lang w:val="en-GB"/>
              </w:rPr>
            </w:pPr>
            <w:r>
              <w:rPr>
                <w:rFonts w:eastAsia="Calibri" w:cstheme="minorHAnsi"/>
                <w:sz w:val="20"/>
                <w:szCs w:val="20"/>
                <w:lang w:val="en-GB"/>
              </w:rPr>
              <w:t>Complete the risk register and update any SESP related documentation based on assessments undertaken   under Component A</w:t>
            </w:r>
          </w:p>
          <w:p w14:paraId="2034EEBE">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Formulate a partnership plan, the learning plan and impact monitoring for the project</w:t>
            </w:r>
          </w:p>
          <w:p w14:paraId="4721EBF5">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Develop a detailed knowledge management and communication strategy;</w:t>
            </w:r>
          </w:p>
          <w:p w14:paraId="1FA22DA0">
            <w:pPr>
              <w:pStyle w:val="56"/>
              <w:numPr>
                <w:ilvl w:val="1"/>
                <w:numId w:val="16"/>
              </w:numPr>
              <w:ind w:left="691" w:hanging="270"/>
              <w:rPr>
                <w:rFonts w:cstheme="minorHAnsi"/>
                <w:sz w:val="20"/>
                <w:szCs w:val="20"/>
                <w:lang w:val="en-GB" w:eastAsia="ja-JP"/>
              </w:rPr>
            </w:pPr>
            <w:r>
              <w:rPr>
                <w:rFonts w:cstheme="minorHAnsi"/>
                <w:sz w:val="20"/>
                <w:szCs w:val="20"/>
                <w:lang w:val="en-GB" w:eastAsia="ja-JP"/>
              </w:rPr>
              <w:t>Secure all co-financing letters;</w:t>
            </w:r>
          </w:p>
          <w:p w14:paraId="2BBD26F9">
            <w:pPr>
              <w:pStyle w:val="56"/>
              <w:numPr>
                <w:ilvl w:val="1"/>
                <w:numId w:val="16"/>
              </w:numPr>
              <w:ind w:left="691" w:hanging="270"/>
              <w:jc w:val="both"/>
              <w:rPr>
                <w:rFonts w:cstheme="minorHAnsi"/>
                <w:sz w:val="20"/>
                <w:szCs w:val="20"/>
                <w:lang w:val="en-GB" w:eastAsia="ja-JP"/>
              </w:rPr>
            </w:pPr>
            <w:r>
              <w:rPr>
                <w:rFonts w:cstheme="minorHAnsi"/>
                <w:sz w:val="20"/>
                <w:szCs w:val="20"/>
                <w:lang w:val="en-GB" w:eastAsia="ja-JP"/>
              </w:rPr>
              <w:t>Prepare the indicative procurement plan;</w:t>
            </w:r>
          </w:p>
          <w:p w14:paraId="7BC7A381">
            <w:pPr>
              <w:pStyle w:val="56"/>
              <w:numPr>
                <w:ilvl w:val="1"/>
                <w:numId w:val="16"/>
              </w:numPr>
              <w:ind w:left="691" w:hanging="270"/>
              <w:rPr>
                <w:rFonts w:eastAsia="Calibri" w:cstheme="minorHAnsi"/>
                <w:sz w:val="20"/>
                <w:szCs w:val="20"/>
                <w:lang w:val="en-GB"/>
              </w:rPr>
            </w:pPr>
            <w:r>
              <w:rPr>
                <w:rFonts w:cstheme="minorHAnsi"/>
                <w:sz w:val="20"/>
                <w:szCs w:val="20"/>
                <w:lang w:val="en-GB" w:eastAsia="ja-JP"/>
              </w:rPr>
              <w:t xml:space="preserve">Secure and present agreements on project execution and management arrangements and ensure that the project aligns to UNDP-GEF guidance on UNDP execution support; </w:t>
            </w:r>
          </w:p>
          <w:p w14:paraId="4B5DE545">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Prepare Total Budget and Work Plan (TBWP) and Indicative Procurement Plan Secure and present agreements on project execution and management arrangements and ensure that the project aligns to UNDP-GEF guidance on UNDP execution support;</w:t>
            </w:r>
          </w:p>
          <w:p w14:paraId="40D71E8E">
            <w:pPr>
              <w:pStyle w:val="56"/>
              <w:numPr>
                <w:ilvl w:val="1"/>
                <w:numId w:val="16"/>
              </w:numPr>
              <w:ind w:left="691" w:hanging="270"/>
              <w:rPr>
                <w:rFonts w:cstheme="minorHAnsi"/>
                <w:sz w:val="20"/>
                <w:szCs w:val="20"/>
                <w:lang w:val="en-GB" w:eastAsia="ja-JP"/>
              </w:rPr>
            </w:pPr>
            <w:r>
              <w:rPr>
                <w:rFonts w:cstheme="minorHAnsi"/>
                <w:sz w:val="20"/>
                <w:szCs w:val="20"/>
                <w:lang w:val="en-GB" w:eastAsia="ja-JP"/>
              </w:rPr>
              <w:t>Ensure the completion of the required official endorsement letters; and</w:t>
            </w:r>
          </w:p>
          <w:p w14:paraId="52D21D1E">
            <w:pPr>
              <w:pStyle w:val="56"/>
              <w:numPr>
                <w:ilvl w:val="1"/>
                <w:numId w:val="16"/>
              </w:numPr>
              <w:ind w:left="691" w:hanging="270"/>
              <w:rPr>
                <w:rFonts w:eastAsia="Calibri" w:cstheme="minorHAnsi"/>
                <w:sz w:val="20"/>
                <w:szCs w:val="20"/>
                <w:lang w:val="en-GB"/>
              </w:rPr>
            </w:pPr>
            <w:r>
              <w:rPr>
                <w:sz w:val="20"/>
                <w:szCs w:val="20"/>
                <w:lang w:val="en-GB" w:eastAsia="ja-JP"/>
              </w:rPr>
              <w:t xml:space="preserve">Synthesize all analyses, studies, etc. that are prepared under Components </w:t>
            </w:r>
            <w:r>
              <w:rPr>
                <w:rFonts w:eastAsia="Calibri"/>
                <w:sz w:val="20"/>
                <w:szCs w:val="20"/>
                <w:lang w:val="en-GB"/>
              </w:rPr>
              <w:t>A and B to produce the draft UNDP-GEF ProDoc, GEF CEO Endorsement, and all mandatory and project specific Annexes, using the templates.</w:t>
            </w:r>
            <w:r>
              <w:rPr>
                <w:rFonts w:eastAsia="Calibri"/>
                <w:vertAlign w:val="superscript"/>
              </w:rPr>
              <w:footnoteReference w:id="4"/>
            </w:r>
          </w:p>
          <w:p w14:paraId="454DBBB0">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Support the resolving of comments and address all feedback as necessary until final GEF CEO Endorsement</w:t>
            </w:r>
          </w:p>
          <w:p w14:paraId="22FA17D5">
            <w:pPr>
              <w:pStyle w:val="56"/>
              <w:ind w:left="430"/>
              <w:rPr>
                <w:rFonts w:cstheme="minorHAnsi"/>
                <w:sz w:val="20"/>
                <w:szCs w:val="20"/>
                <w:lang w:val="en-GB" w:eastAsia="ja-JP"/>
              </w:rPr>
            </w:pPr>
          </w:p>
          <w:p w14:paraId="6F711128">
            <w:pPr>
              <w:pStyle w:val="56"/>
              <w:numPr>
                <w:ilvl w:val="0"/>
                <w:numId w:val="16"/>
              </w:numPr>
              <w:ind w:left="430"/>
              <w:rPr>
                <w:rFonts w:cstheme="minorHAnsi"/>
                <w:sz w:val="20"/>
                <w:szCs w:val="20"/>
                <w:lang w:val="en-GB" w:eastAsia="ja-JP"/>
              </w:rPr>
            </w:pPr>
            <w:r>
              <w:rPr>
                <w:rFonts w:cstheme="minorHAnsi"/>
                <w:sz w:val="20"/>
                <w:szCs w:val="20"/>
                <w:u w:val="single"/>
                <w:lang w:val="en-GB" w:eastAsia="ja-JP"/>
              </w:rPr>
              <w:t>Validation Process (Component C)</w:t>
            </w:r>
            <w:r>
              <w:rPr>
                <w:rFonts w:cstheme="minorHAnsi"/>
                <w:sz w:val="20"/>
                <w:szCs w:val="20"/>
                <w:lang w:val="en-GB" w:eastAsia="ja-JP"/>
              </w:rPr>
              <w:t xml:space="preserve">: </w:t>
            </w:r>
          </w:p>
          <w:p w14:paraId="5FAC1002">
            <w:pPr>
              <w:pStyle w:val="56"/>
              <w:numPr>
                <w:ilvl w:val="1"/>
                <w:numId w:val="16"/>
              </w:numPr>
              <w:ind w:left="691" w:hanging="270"/>
              <w:rPr>
                <w:rFonts w:cstheme="minorHAnsi"/>
                <w:sz w:val="20"/>
                <w:szCs w:val="20"/>
                <w:lang w:val="en-GB" w:eastAsia="ja-JP"/>
              </w:rPr>
            </w:pPr>
            <w:r>
              <w:rPr>
                <w:rFonts w:cstheme="minorHAnsi"/>
                <w:sz w:val="20"/>
                <w:szCs w:val="20"/>
                <w:lang w:val="en-GB" w:eastAsia="ja-JP"/>
              </w:rPr>
              <w:t xml:space="preserve">Lead the inception and validation workshop to initially present, discuss and then validate the final draft ProDoc and mandatory and project specific annexes, with a special focus on the SESP and any management plans; </w:t>
            </w:r>
          </w:p>
          <w:p w14:paraId="66EF0CE4">
            <w:pPr>
              <w:pStyle w:val="56"/>
              <w:numPr>
                <w:ilvl w:val="1"/>
                <w:numId w:val="16"/>
              </w:numPr>
              <w:ind w:left="691" w:hanging="270"/>
              <w:rPr>
                <w:rFonts w:cstheme="minorHAnsi"/>
                <w:sz w:val="20"/>
                <w:szCs w:val="20"/>
                <w:lang w:val="en-GB" w:eastAsia="ja-JP"/>
              </w:rPr>
            </w:pPr>
            <w:r>
              <w:rPr>
                <w:rFonts w:cstheme="minorHAnsi"/>
                <w:sz w:val="20"/>
                <w:szCs w:val="20"/>
                <w:lang w:val="en-GB" w:eastAsia="ja-JP"/>
              </w:rPr>
              <w:t>Oversee all necessary revisions that arise during the workshops; and</w:t>
            </w:r>
          </w:p>
          <w:p w14:paraId="0DCD9B42">
            <w:pPr>
              <w:pStyle w:val="56"/>
              <w:numPr>
                <w:ilvl w:val="1"/>
                <w:numId w:val="16"/>
              </w:numPr>
              <w:ind w:left="691" w:hanging="270"/>
              <w:rPr>
                <w:rFonts w:cstheme="minorHAnsi"/>
                <w:lang w:val="en-GB"/>
              </w:rPr>
            </w:pPr>
            <w:r>
              <w:rPr>
                <w:rFonts w:eastAsia="Calibri" w:cstheme="minorHAnsi"/>
                <w:sz w:val="20"/>
                <w:szCs w:val="20"/>
                <w:lang w:val="en-GB"/>
              </w:rPr>
              <w:t xml:space="preserve"> Ensure completion of both the Inception and the Validation Workshop Reports, compiling contributions from all team members</w:t>
            </w:r>
          </w:p>
          <w:p w14:paraId="3CA37524">
            <w:pPr>
              <w:pStyle w:val="56"/>
              <w:ind w:left="430"/>
              <w:rPr>
                <w:rFonts w:cstheme="minorHAnsi"/>
                <w:sz w:val="20"/>
                <w:szCs w:val="20"/>
                <w:lang w:val="en-GB" w:eastAsia="ja-JP"/>
              </w:rPr>
            </w:pPr>
          </w:p>
          <w:p w14:paraId="65D1B0EE">
            <w:pPr>
              <w:pStyle w:val="56"/>
              <w:numPr>
                <w:ilvl w:val="0"/>
                <w:numId w:val="16"/>
              </w:numPr>
              <w:ind w:left="430"/>
              <w:rPr>
                <w:rFonts w:cstheme="minorHAnsi"/>
                <w:sz w:val="20"/>
                <w:szCs w:val="20"/>
                <w:lang w:val="en-GB" w:eastAsia="ja-JP"/>
              </w:rPr>
            </w:pPr>
            <w:r>
              <w:rPr>
                <w:rFonts w:cstheme="minorHAnsi"/>
                <w:sz w:val="20"/>
                <w:szCs w:val="20"/>
                <w:u w:val="single"/>
                <w:lang w:val="en-GB" w:eastAsia="ja-JP"/>
              </w:rPr>
              <w:t>Final Deliverables</w:t>
            </w:r>
            <w:r>
              <w:rPr>
                <w:rFonts w:cstheme="minorHAnsi"/>
                <w:sz w:val="20"/>
                <w:szCs w:val="20"/>
                <w:lang w:val="en-GB" w:eastAsia="ja-JP"/>
              </w:rPr>
              <w:t>:</w:t>
            </w:r>
          </w:p>
          <w:p w14:paraId="387D85E9">
            <w:pPr>
              <w:pStyle w:val="56"/>
              <w:numPr>
                <w:ilvl w:val="1"/>
                <w:numId w:val="16"/>
              </w:numPr>
              <w:ind w:left="691" w:hanging="270"/>
              <w:rPr>
                <w:rFonts w:cstheme="minorHAnsi"/>
                <w:sz w:val="20"/>
                <w:szCs w:val="20"/>
                <w:lang w:val="en-GB" w:eastAsia="ja-JP"/>
              </w:rPr>
            </w:pPr>
            <w:r>
              <w:rPr>
                <w:rFonts w:cstheme="minorHAnsi"/>
                <w:sz w:val="20"/>
                <w:szCs w:val="20"/>
                <w:lang w:val="en-GB" w:eastAsia="ja-JP"/>
              </w:rPr>
              <w:t>Consolidation of all technical and consultation inputs and comments including from national stakeholders, UNDP, GEF Secretariat, STAP and GEF Council, into a well written and concise UNDP ProDoc with all required sections and Annexes, in line with the standard UNDP-GEF ProDoc template and annotated guidance;</w:t>
            </w:r>
          </w:p>
          <w:p w14:paraId="42870141">
            <w:pPr>
              <w:pStyle w:val="56"/>
              <w:numPr>
                <w:ilvl w:val="1"/>
                <w:numId w:val="16"/>
              </w:numPr>
              <w:ind w:left="691" w:hanging="270"/>
              <w:rPr>
                <w:rFonts w:cstheme="minorHAnsi"/>
                <w:sz w:val="20"/>
                <w:szCs w:val="20"/>
                <w:lang w:val="en-GB" w:eastAsia="ja-JP"/>
              </w:rPr>
            </w:pPr>
            <w:r>
              <w:rPr>
                <w:rFonts w:cstheme="minorHAnsi"/>
                <w:sz w:val="20"/>
                <w:szCs w:val="20"/>
                <w:lang w:val="en-GB" w:eastAsia="ja-JP"/>
              </w:rPr>
              <w:t xml:space="preserve">Completion of the GEF CEO Endorsement Request; </w:t>
            </w:r>
          </w:p>
          <w:p w14:paraId="5047EAA3">
            <w:pPr>
              <w:pStyle w:val="56"/>
              <w:numPr>
                <w:ilvl w:val="1"/>
                <w:numId w:val="16"/>
              </w:numPr>
              <w:ind w:left="691" w:hanging="270"/>
              <w:rPr>
                <w:rFonts w:cstheme="minorHAnsi"/>
                <w:sz w:val="20"/>
                <w:szCs w:val="20"/>
                <w:lang w:val="en-GB" w:eastAsia="ja-JP"/>
              </w:rPr>
            </w:pPr>
            <w:r>
              <w:rPr>
                <w:rFonts w:cstheme="minorHAnsi"/>
                <w:sz w:val="20"/>
                <w:szCs w:val="20"/>
                <w:lang w:val="en-GB" w:eastAsia="ja-JP"/>
              </w:rPr>
              <w:t>Finalized SESP (and SES frameworks and management plans as required);</w:t>
            </w:r>
          </w:p>
          <w:p w14:paraId="720148C0">
            <w:pPr>
              <w:pStyle w:val="56"/>
              <w:numPr>
                <w:ilvl w:val="1"/>
                <w:numId w:val="16"/>
              </w:numPr>
              <w:ind w:left="691" w:hanging="270"/>
              <w:rPr>
                <w:rFonts w:cstheme="minorHAnsi"/>
                <w:sz w:val="20"/>
                <w:szCs w:val="20"/>
                <w:lang w:val="en-GB" w:eastAsia="ja-JP"/>
              </w:rPr>
            </w:pPr>
            <w:r>
              <w:rPr>
                <w:rFonts w:cstheme="minorHAnsi"/>
                <w:sz w:val="20"/>
                <w:szCs w:val="20"/>
                <w:lang w:val="en-GB" w:eastAsia="ja-JP"/>
              </w:rPr>
              <w:t xml:space="preserve">Upon request from the UNDP </w:t>
            </w:r>
            <w:r>
              <w:rPr>
                <w:rFonts w:cstheme="minorHAnsi"/>
                <w:sz w:val="20"/>
                <w:szCs w:val="20"/>
              </w:rPr>
              <w:t>Regional Technical Adviser/Regional Technical Specialist during the PPG implementation, the PPG team may be required to prepare additional annexes.</w:t>
            </w:r>
          </w:p>
          <w:p w14:paraId="3650F047">
            <w:pPr>
              <w:pStyle w:val="56"/>
              <w:numPr>
                <w:ilvl w:val="1"/>
                <w:numId w:val="16"/>
              </w:numPr>
              <w:ind w:left="691" w:hanging="270"/>
              <w:rPr>
                <w:rFonts w:cstheme="minorHAnsi"/>
                <w:sz w:val="20"/>
                <w:szCs w:val="20"/>
                <w:lang w:val="en-GB" w:eastAsia="ja-JP"/>
              </w:rPr>
            </w:pPr>
            <w:r>
              <w:rPr>
                <w:rFonts w:cstheme="minorHAnsi"/>
                <w:sz w:val="20"/>
                <w:szCs w:val="20"/>
                <w:lang w:val="en-GB" w:eastAsia="ja-JP"/>
              </w:rPr>
              <w:t>All documentation from GEF PPG (including technical reports, meeting minutes, etc.); and</w:t>
            </w:r>
          </w:p>
          <w:p w14:paraId="5A1E9774">
            <w:pPr>
              <w:pStyle w:val="56"/>
              <w:numPr>
                <w:ilvl w:val="1"/>
                <w:numId w:val="16"/>
              </w:numPr>
              <w:ind w:left="691" w:hanging="270"/>
              <w:rPr>
                <w:rFonts w:cstheme="minorHAnsi"/>
                <w:sz w:val="20"/>
                <w:szCs w:val="20"/>
                <w:lang w:val="en-GB" w:eastAsia="ja-JP"/>
              </w:rPr>
            </w:pPr>
            <w:r>
              <w:rPr>
                <w:rFonts w:cstheme="minorHAnsi"/>
                <w:sz w:val="20"/>
                <w:szCs w:val="20"/>
                <w:lang w:val="en-GB" w:eastAsia="ja-JP"/>
              </w:rPr>
              <w:t>Validation Workshop Report.</w:t>
            </w:r>
          </w:p>
          <w:p w14:paraId="62A517CD">
            <w:pPr>
              <w:rPr>
                <w:rFonts w:cstheme="minorHAnsi"/>
                <w:sz w:val="20"/>
                <w:szCs w:val="20"/>
                <w:lang w:val="en-GB" w:eastAsia="ja-JP"/>
              </w:rPr>
            </w:pPr>
          </w:p>
          <w:p w14:paraId="728F0B6E">
            <w:pPr>
              <w:rPr>
                <w:rFonts w:cstheme="minorHAnsi"/>
                <w:b/>
                <w:sz w:val="20"/>
                <w:szCs w:val="20"/>
                <w:lang w:val="en-GB" w:eastAsia="ja-JP"/>
              </w:rPr>
            </w:pPr>
            <w:r>
              <w:rPr>
                <w:rFonts w:cstheme="minorHAnsi"/>
                <w:b/>
                <w:sz w:val="20"/>
                <w:szCs w:val="20"/>
                <w:lang w:val="en-GB" w:eastAsia="ja-JP"/>
              </w:rPr>
              <w:t>Qualifications</w:t>
            </w:r>
          </w:p>
          <w:p w14:paraId="74B673BE">
            <w:pPr>
              <w:pStyle w:val="56"/>
              <w:numPr>
                <w:ilvl w:val="0"/>
                <w:numId w:val="17"/>
              </w:numPr>
              <w:rPr>
                <w:rFonts w:cstheme="minorHAnsi"/>
                <w:sz w:val="20"/>
                <w:szCs w:val="20"/>
                <w:lang w:val="en-GB" w:eastAsia="ja-JP"/>
              </w:rPr>
            </w:pPr>
            <w:r>
              <w:rPr>
                <w:rFonts w:cstheme="minorHAnsi"/>
                <w:sz w:val="20"/>
                <w:szCs w:val="20"/>
                <w:lang w:val="en-GB" w:eastAsia="ja-JP"/>
              </w:rPr>
              <w:t>Master’s degree or higher in a relevant field, such as natural resources management, environmental sciences, ecology, conservation biodiversity;</w:t>
            </w:r>
          </w:p>
          <w:p w14:paraId="168338BC">
            <w:pPr>
              <w:pStyle w:val="56"/>
              <w:numPr>
                <w:ilvl w:val="0"/>
                <w:numId w:val="17"/>
              </w:numPr>
              <w:rPr>
                <w:rFonts w:cstheme="minorHAnsi"/>
                <w:sz w:val="20"/>
                <w:szCs w:val="20"/>
                <w:lang w:val="en-GB" w:eastAsia="ja-JP"/>
              </w:rPr>
            </w:pPr>
            <w:r>
              <w:rPr>
                <w:rFonts w:cstheme="minorHAnsi"/>
                <w:sz w:val="20"/>
                <w:szCs w:val="20"/>
                <w:lang w:val="en-GB" w:eastAsia="ja-JP"/>
              </w:rPr>
              <w:t xml:space="preserve">Minimum of 15 years of demonstrable experience in the technical area of </w:t>
            </w:r>
            <w:r>
              <w:rPr>
                <w:rFonts w:cstheme="minorHAnsi"/>
                <w:i/>
                <w:iCs/>
                <w:sz w:val="20"/>
                <w:szCs w:val="20"/>
                <w:lang w:val="en-GB" w:eastAsia="ja-JP"/>
              </w:rPr>
              <w:t>ecological restoration and biodiversity management with experience in OECM</w:t>
            </w:r>
            <w:r>
              <w:rPr>
                <w:rFonts w:cstheme="minorHAnsi"/>
                <w:i/>
                <w:sz w:val="20"/>
                <w:szCs w:val="20"/>
                <w:lang w:val="en-GB" w:eastAsia="ja-JP"/>
              </w:rPr>
              <w:t xml:space="preserve">, </w:t>
            </w:r>
            <w:r>
              <w:rPr>
                <w:rFonts w:cstheme="minorHAnsi"/>
                <w:sz w:val="20"/>
                <w:szCs w:val="20"/>
                <w:lang w:val="en-GB" w:eastAsia="ja-JP"/>
              </w:rPr>
              <w:t>and in preparing high quality project documents, particularly for UNDP and GEF projects;</w:t>
            </w:r>
          </w:p>
          <w:p w14:paraId="43244FC0">
            <w:pPr>
              <w:pStyle w:val="56"/>
              <w:numPr>
                <w:ilvl w:val="0"/>
                <w:numId w:val="17"/>
              </w:numPr>
              <w:rPr>
                <w:rFonts w:cstheme="minorHAnsi"/>
                <w:sz w:val="20"/>
                <w:szCs w:val="20"/>
                <w:lang w:val="en-GB" w:eastAsia="ja-JP"/>
              </w:rPr>
            </w:pPr>
            <w:r>
              <w:rPr>
                <w:rFonts w:cstheme="minorHAnsi"/>
                <w:sz w:val="20"/>
                <w:szCs w:val="20"/>
                <w:lang w:val="en-GB" w:eastAsia="ja-JP"/>
              </w:rPr>
              <w:t>Minimum of 10 years of experience with project development, implementation and evaluation, including formulation of biodiversity conservation projects with capacity development elements;</w:t>
            </w:r>
          </w:p>
          <w:p w14:paraId="63144F37">
            <w:pPr>
              <w:pStyle w:val="56"/>
              <w:numPr>
                <w:ilvl w:val="0"/>
                <w:numId w:val="17"/>
              </w:numPr>
              <w:rPr>
                <w:rFonts w:cstheme="minorHAnsi"/>
                <w:sz w:val="20"/>
                <w:szCs w:val="20"/>
                <w:lang w:val="en-GB" w:eastAsia="ja-JP"/>
              </w:rPr>
            </w:pPr>
            <w:r>
              <w:rPr>
                <w:rFonts w:cstheme="minorHAnsi"/>
                <w:sz w:val="20"/>
                <w:szCs w:val="20"/>
                <w:lang w:val="en-GB" w:eastAsia="ja-JP"/>
              </w:rPr>
              <w:t>Knowledge of and experience in landscape management and spatial planning;</w:t>
            </w:r>
          </w:p>
          <w:p w14:paraId="1D2FE259">
            <w:pPr>
              <w:pStyle w:val="56"/>
              <w:numPr>
                <w:ilvl w:val="0"/>
                <w:numId w:val="17"/>
              </w:numPr>
              <w:rPr>
                <w:rFonts w:cstheme="minorHAnsi"/>
                <w:sz w:val="20"/>
                <w:szCs w:val="20"/>
                <w:lang w:val="en-GB" w:eastAsia="ja-JP"/>
              </w:rPr>
            </w:pPr>
            <w:r>
              <w:rPr>
                <w:rFonts w:cstheme="minorHAnsi"/>
                <w:sz w:val="20"/>
                <w:szCs w:val="20"/>
                <w:lang w:val="en-GB" w:eastAsia="ja-JP"/>
              </w:rPr>
              <w:t>Experience working in leveraging investments for biodiversity and ecosystem conservation or related initiatives is highly desired.</w:t>
            </w:r>
          </w:p>
          <w:p w14:paraId="510B435A">
            <w:pPr>
              <w:pStyle w:val="56"/>
              <w:numPr>
                <w:ilvl w:val="0"/>
                <w:numId w:val="17"/>
              </w:numPr>
              <w:rPr>
                <w:rFonts w:cstheme="minorHAnsi"/>
                <w:sz w:val="20"/>
                <w:szCs w:val="20"/>
                <w:lang w:val="en-GB" w:eastAsia="ja-JP"/>
              </w:rPr>
            </w:pPr>
            <w:r>
              <w:rPr>
                <w:rFonts w:cstheme="minorHAnsi"/>
                <w:sz w:val="20"/>
                <w:szCs w:val="20"/>
                <w:lang w:val="en-GB" w:eastAsia="ja-JP"/>
              </w:rPr>
              <w:t>Demonstrated understanding of the GEF rationale and procedures, and demonstrated experience in formulation of GEF-funded project proposals, using the logical framework and the results-based management approaches;</w:t>
            </w:r>
          </w:p>
          <w:p w14:paraId="3823B76D">
            <w:pPr>
              <w:pStyle w:val="56"/>
              <w:numPr>
                <w:ilvl w:val="0"/>
                <w:numId w:val="17"/>
              </w:numPr>
              <w:rPr>
                <w:rFonts w:cstheme="minorHAnsi"/>
                <w:sz w:val="20"/>
                <w:szCs w:val="20"/>
                <w:lang w:val="en-GB" w:eastAsia="ja-JP"/>
              </w:rPr>
            </w:pPr>
            <w:r>
              <w:rPr>
                <w:rFonts w:cstheme="minorHAnsi"/>
                <w:sz w:val="20"/>
                <w:szCs w:val="20"/>
                <w:lang w:val="en-GB" w:eastAsia="ja-JP"/>
              </w:rPr>
              <w:t>Demonstrated leadership, facilitation and coordination skills, with ability to manage technical teams, engage with stakeholders, design participatory processes and form strategic partnerships and alliances;</w:t>
            </w:r>
          </w:p>
          <w:p w14:paraId="4D40A15F">
            <w:pPr>
              <w:pStyle w:val="56"/>
              <w:numPr>
                <w:ilvl w:val="0"/>
                <w:numId w:val="17"/>
              </w:numPr>
              <w:rPr>
                <w:rFonts w:cstheme="minorHAnsi"/>
                <w:sz w:val="20"/>
                <w:szCs w:val="20"/>
                <w:lang w:val="en-GB" w:eastAsia="ja-JP"/>
              </w:rPr>
            </w:pPr>
            <w:r>
              <w:rPr>
                <w:rFonts w:cstheme="minorHAnsi"/>
                <w:sz w:val="20"/>
                <w:szCs w:val="20"/>
                <w:lang w:val="en-GB" w:eastAsia="ja-JP"/>
              </w:rPr>
              <w:t>Demonstrated ability to work independently and deliver high quality outputs in a timely manner;</w:t>
            </w:r>
          </w:p>
          <w:p w14:paraId="437B8C02">
            <w:pPr>
              <w:pStyle w:val="56"/>
              <w:numPr>
                <w:ilvl w:val="0"/>
                <w:numId w:val="17"/>
              </w:numPr>
              <w:rPr>
                <w:rFonts w:cstheme="minorHAnsi"/>
                <w:sz w:val="20"/>
                <w:szCs w:val="20"/>
                <w:lang w:val="en-GB" w:eastAsia="ja-JP"/>
              </w:rPr>
            </w:pPr>
            <w:r>
              <w:rPr>
                <w:rFonts w:cstheme="minorHAnsi"/>
                <w:sz w:val="20"/>
                <w:szCs w:val="20"/>
                <w:lang w:val="en-GB" w:eastAsia="ja-JP"/>
              </w:rPr>
              <w:t xml:space="preserve">Previous working experience with GEF project agencies, such as UNDP or World Bank, and familiarity with GEF and UNDP policies, procedures and practices are assets; </w:t>
            </w:r>
          </w:p>
          <w:p w14:paraId="75B7020A">
            <w:pPr>
              <w:pStyle w:val="56"/>
              <w:numPr>
                <w:ilvl w:val="0"/>
                <w:numId w:val="17"/>
              </w:numPr>
              <w:rPr>
                <w:rFonts w:cstheme="minorHAnsi"/>
                <w:sz w:val="20"/>
                <w:szCs w:val="20"/>
                <w:lang w:val="en-GB" w:eastAsia="ja-JP"/>
              </w:rPr>
            </w:pPr>
            <w:r>
              <w:rPr>
                <w:rFonts w:cstheme="minorHAnsi"/>
                <w:sz w:val="20"/>
                <w:szCs w:val="20"/>
                <w:lang w:val="en-GB" w:eastAsia="ja-JP"/>
              </w:rPr>
              <w:t xml:space="preserve">Experience in working with Chinese government agencies or elsewhere in Asian context is an asset; </w:t>
            </w:r>
          </w:p>
          <w:p w14:paraId="08D62742">
            <w:pPr>
              <w:pStyle w:val="56"/>
              <w:numPr>
                <w:ilvl w:val="0"/>
                <w:numId w:val="17"/>
              </w:numPr>
              <w:rPr>
                <w:rFonts w:cstheme="minorHAnsi"/>
                <w:sz w:val="20"/>
                <w:szCs w:val="20"/>
                <w:lang w:val="en-GB" w:eastAsia="ja-JP"/>
              </w:rPr>
            </w:pPr>
            <w:r>
              <w:rPr>
                <w:rFonts w:cstheme="minorHAnsi"/>
                <w:sz w:val="20"/>
                <w:szCs w:val="20"/>
                <w:lang w:val="en-GB" w:eastAsia="ja-JP"/>
              </w:rPr>
              <w:t>Excellent written and oral communication skills in English.</w:t>
            </w:r>
          </w:p>
          <w:p w14:paraId="1AACB890">
            <w:pPr>
              <w:pStyle w:val="56"/>
              <w:rPr>
                <w:rFonts w:cstheme="minorHAnsi"/>
                <w:sz w:val="20"/>
                <w:szCs w:val="20"/>
                <w:lang w:val="en-GB" w:eastAsia="ja-JP"/>
              </w:rPr>
            </w:pPr>
          </w:p>
        </w:tc>
      </w:tr>
      <w:tr w14:paraId="63B4F8CF">
        <w:trPr>
          <w:trHeight w:val="300" w:hRule="atLeast"/>
        </w:trPr>
        <w:tc>
          <w:tcPr>
            <w:tcW w:w="1673" w:type="dxa"/>
          </w:tcPr>
          <w:p w14:paraId="05170E9D">
            <w:pPr>
              <w:rPr>
                <w:rFonts w:eastAsia="Malgun Gothic" w:cstheme="minorHAnsi"/>
                <w:b/>
                <w:sz w:val="20"/>
                <w:szCs w:val="20"/>
                <w:lang w:val="en-GB" w:eastAsia="ja-JP"/>
              </w:rPr>
            </w:pPr>
            <w:r>
              <w:rPr>
                <w:rFonts w:eastAsia="Malgun Gothic" w:cstheme="minorHAnsi"/>
                <w:b/>
                <w:sz w:val="20"/>
                <w:szCs w:val="20"/>
                <w:u w:val="single"/>
                <w:lang w:val="en-GB" w:eastAsia="ja-JP"/>
              </w:rPr>
              <w:t xml:space="preserve">Consultant: </w:t>
            </w:r>
            <w:r>
              <w:rPr>
                <w:rFonts w:eastAsia="Malgun Gothic" w:cstheme="minorHAnsi"/>
                <w:sz w:val="20"/>
                <w:szCs w:val="20"/>
                <w:lang w:val="en-GB" w:eastAsia="ja-JP"/>
              </w:rPr>
              <w:t xml:space="preserve">International Safeguard Specialist </w:t>
            </w:r>
          </w:p>
          <w:p w14:paraId="46FFF801">
            <w:pPr>
              <w:rPr>
                <w:rFonts w:eastAsia="Malgun Gothic" w:cstheme="minorHAnsi"/>
                <w:sz w:val="20"/>
                <w:szCs w:val="20"/>
                <w:lang w:val="en-GB" w:eastAsia="ja-JP"/>
              </w:rPr>
            </w:pPr>
          </w:p>
          <w:p w14:paraId="057438E8">
            <w:pPr>
              <w:rPr>
                <w:rFonts w:eastAsia="Malgun Gothic" w:cstheme="minorHAnsi"/>
                <w:sz w:val="20"/>
                <w:szCs w:val="20"/>
                <w:lang w:val="en-GB" w:eastAsia="ja-JP"/>
              </w:rPr>
            </w:pPr>
            <w:r>
              <w:rPr>
                <w:rFonts w:eastAsia="Malgun Gothic" w:cstheme="minorHAnsi"/>
                <w:b/>
                <w:sz w:val="20"/>
                <w:szCs w:val="20"/>
                <w:lang w:val="en-GB" w:eastAsia="ja-JP"/>
              </w:rPr>
              <w:t>Type:</w:t>
            </w:r>
            <w:r>
              <w:rPr>
                <w:rFonts w:eastAsia="Malgun Gothic" w:cstheme="minorHAnsi"/>
                <w:sz w:val="20"/>
                <w:szCs w:val="20"/>
                <w:lang w:val="en-GB" w:eastAsia="ja-JP"/>
              </w:rPr>
              <w:t xml:space="preserve"> IC</w:t>
            </w:r>
          </w:p>
          <w:p w14:paraId="7B983551">
            <w:pPr>
              <w:rPr>
                <w:rFonts w:eastAsia="Malgun Gothic" w:cstheme="minorHAnsi"/>
                <w:sz w:val="20"/>
                <w:szCs w:val="20"/>
                <w:lang w:val="en-GB" w:eastAsia="ja-JP"/>
              </w:rPr>
            </w:pPr>
          </w:p>
          <w:p w14:paraId="1AD8A399">
            <w:pPr>
              <w:rPr>
                <w:rFonts w:eastAsia="Malgun Gothic" w:cstheme="minorHAnsi"/>
                <w:sz w:val="20"/>
                <w:szCs w:val="20"/>
                <w:lang w:val="en-GB" w:eastAsia="ja-JP"/>
              </w:rPr>
            </w:pPr>
            <w:r>
              <w:rPr>
                <w:rFonts w:eastAsia="Malgun Gothic" w:cstheme="minorHAnsi"/>
                <w:b/>
                <w:sz w:val="20"/>
                <w:szCs w:val="20"/>
                <w:lang w:val="en-GB" w:eastAsia="ja-JP"/>
              </w:rPr>
              <w:t>Cost per person-week:</w:t>
            </w:r>
            <w:r>
              <w:rPr>
                <w:rFonts w:eastAsia="Malgun Gothic" w:cstheme="minorHAnsi"/>
                <w:sz w:val="20"/>
                <w:szCs w:val="20"/>
                <w:lang w:val="en-GB" w:eastAsia="ja-JP"/>
              </w:rPr>
              <w:t xml:space="preserve"> $3,000</w:t>
            </w:r>
          </w:p>
          <w:p w14:paraId="6083D97D">
            <w:pPr>
              <w:rPr>
                <w:rFonts w:eastAsia="Malgun Gothic" w:cstheme="minorHAnsi"/>
                <w:sz w:val="20"/>
                <w:szCs w:val="20"/>
                <w:lang w:val="en-GB" w:eastAsia="ja-JP"/>
              </w:rPr>
            </w:pPr>
          </w:p>
          <w:p w14:paraId="0876F3EF">
            <w:pPr>
              <w:rPr>
                <w:rFonts w:eastAsia="Malgun Gothic" w:cstheme="minorHAnsi"/>
                <w:b/>
                <w:sz w:val="20"/>
                <w:szCs w:val="20"/>
                <w:u w:val="single"/>
                <w:lang w:val="en-GB" w:eastAsia="ja-JP"/>
              </w:rPr>
            </w:pPr>
            <w:r>
              <w:rPr>
                <w:rFonts w:eastAsia="Malgun Gothic" w:cstheme="minorHAnsi"/>
                <w:b/>
                <w:sz w:val="20"/>
                <w:szCs w:val="20"/>
                <w:lang w:val="en-GB" w:eastAsia="ja-JP"/>
              </w:rPr>
              <w:t>Number of person-weeks needed:</w:t>
            </w:r>
            <w:r>
              <w:rPr>
                <w:rFonts w:eastAsia="Malgun Gothic" w:cstheme="minorHAnsi"/>
                <w:sz w:val="20"/>
                <w:szCs w:val="20"/>
                <w:lang w:val="en-GB" w:eastAsia="ja-JP"/>
              </w:rPr>
              <w:t xml:space="preserve"> 7 weeks</w:t>
            </w:r>
          </w:p>
        </w:tc>
        <w:tc>
          <w:tcPr>
            <w:tcW w:w="7564" w:type="dxa"/>
          </w:tcPr>
          <w:p w14:paraId="244723F0">
            <w:pPr>
              <w:rPr>
                <w:rFonts w:eastAsia="Malgun Gothic" w:cstheme="minorHAnsi"/>
                <w:sz w:val="20"/>
                <w:szCs w:val="20"/>
                <w:lang w:val="en-GB" w:eastAsia="ja-JP"/>
              </w:rPr>
            </w:pPr>
            <w:r>
              <w:rPr>
                <w:rFonts w:eastAsia="Malgun Gothic" w:cstheme="minorHAnsi"/>
                <w:b/>
                <w:sz w:val="20"/>
                <w:szCs w:val="20"/>
                <w:lang w:val="en-GB" w:eastAsia="ja-JP"/>
              </w:rPr>
              <w:t xml:space="preserve">Role </w:t>
            </w:r>
          </w:p>
          <w:p w14:paraId="6E9D4A82">
            <w:pPr>
              <w:rPr>
                <w:rFonts w:eastAsia="Malgun Gothic" w:cstheme="minorHAnsi"/>
                <w:sz w:val="20"/>
                <w:szCs w:val="20"/>
                <w:lang w:val="en-GB" w:eastAsia="ja-JP"/>
              </w:rPr>
            </w:pPr>
            <w:r>
              <w:rPr>
                <w:rFonts w:eastAsia="Malgun Gothic" w:cstheme="minorHAnsi"/>
                <w:sz w:val="20"/>
                <w:szCs w:val="20"/>
                <w:lang w:val="en-GB" w:eastAsia="ja-JP"/>
              </w:rPr>
              <w:t>The International Safeguards Specialist will develop mandatory project Annexes related to application of social and environmental safeguards and support adherence of project development to UNDP’s SESP and specific requirements, as appropriate. The Specialist will also work in close collaboration with the rest of the PPG team to identify opportunities to integrate SES into the design of project activities.</w:t>
            </w:r>
          </w:p>
          <w:p w14:paraId="64015496">
            <w:pPr>
              <w:rPr>
                <w:rFonts w:eastAsia="Malgun Gothic" w:cstheme="minorHAnsi"/>
                <w:sz w:val="20"/>
                <w:szCs w:val="20"/>
                <w:lang w:val="en-GB" w:eastAsia="ja-JP"/>
              </w:rPr>
            </w:pPr>
          </w:p>
          <w:p w14:paraId="5AAEC1C0">
            <w:pPr>
              <w:rPr>
                <w:rFonts w:eastAsia="Malgun Gothic" w:cstheme="minorHAnsi"/>
                <w:sz w:val="20"/>
                <w:szCs w:val="20"/>
                <w:lang w:val="en-GB" w:eastAsia="ja-JP"/>
              </w:rPr>
            </w:pPr>
          </w:p>
          <w:p w14:paraId="7534AAC4">
            <w:pPr>
              <w:rPr>
                <w:rFonts w:eastAsia="Malgun Gothic" w:cstheme="minorHAnsi"/>
                <w:b/>
                <w:sz w:val="20"/>
                <w:szCs w:val="20"/>
                <w:lang w:val="en-GB" w:eastAsia="ja-JP"/>
              </w:rPr>
            </w:pPr>
            <w:r>
              <w:rPr>
                <w:rFonts w:eastAsia="Malgun Gothic" w:cstheme="minorHAnsi"/>
                <w:b/>
                <w:sz w:val="20"/>
                <w:szCs w:val="20"/>
                <w:lang w:val="en-GB" w:eastAsia="ja-JP"/>
              </w:rPr>
              <w:t>Deliverables</w:t>
            </w:r>
          </w:p>
          <w:p w14:paraId="5AD2FAA0">
            <w:pPr>
              <w:pStyle w:val="56"/>
              <w:numPr>
                <w:ilvl w:val="0"/>
                <w:numId w:val="18"/>
              </w:numPr>
              <w:ind w:left="430"/>
              <w:rPr>
                <w:rFonts w:cstheme="minorHAnsi"/>
                <w:sz w:val="20"/>
                <w:szCs w:val="20"/>
                <w:u w:val="single"/>
                <w:lang w:val="en-AU" w:eastAsia="ja-JP"/>
              </w:rPr>
            </w:pPr>
            <w:r>
              <w:rPr>
                <w:rFonts w:cstheme="minorHAnsi"/>
                <w:sz w:val="20"/>
                <w:szCs w:val="20"/>
                <w:u w:val="single"/>
                <w:lang w:val="en-AU" w:eastAsia="ja-JP"/>
              </w:rPr>
              <w:t>Preparatory Technical Studies and Reviews (Component A): Prepare inputs and support the required analyses/studies, as agreed with the GEF PPG Team Leader, including:</w:t>
            </w:r>
          </w:p>
          <w:p w14:paraId="1A4AC512">
            <w:pPr>
              <w:numPr>
                <w:ilvl w:val="0"/>
                <w:numId w:val="19"/>
              </w:numPr>
              <w:ind w:left="692" w:hanging="274"/>
              <w:rPr>
                <w:rFonts w:eastAsia="Malgun Gothic" w:cstheme="minorHAnsi"/>
                <w:sz w:val="20"/>
                <w:szCs w:val="20"/>
                <w:lang w:val="en-AU" w:eastAsia="ja-JP"/>
              </w:rPr>
            </w:pPr>
            <w:r>
              <w:rPr>
                <w:rFonts w:eastAsia="Malgun Gothic" w:cstheme="minorHAnsi"/>
                <w:sz w:val="20"/>
                <w:szCs w:val="20"/>
                <w:lang w:val="en-AU" w:eastAsia="ja-JP"/>
              </w:rPr>
              <w:t>Perform a SESP analysis in the beginning of the assignment and educate the PPG team and key partners on safeguards. Complete the UNDP Social and Environmental Screening Procedure (SESP) in an iterative manner, and support the detailed assessment of all project risks including consultations with local stakeholders;</w:t>
            </w:r>
          </w:p>
          <w:p w14:paraId="78569E20">
            <w:pPr>
              <w:numPr>
                <w:ilvl w:val="0"/>
                <w:numId w:val="19"/>
              </w:numPr>
              <w:ind w:left="692" w:hanging="274"/>
              <w:rPr>
                <w:rFonts w:eastAsia="Malgun Gothic" w:cstheme="minorHAnsi"/>
                <w:sz w:val="20"/>
                <w:szCs w:val="20"/>
                <w:lang w:val="en-AU" w:eastAsia="ja-JP"/>
              </w:rPr>
            </w:pPr>
            <w:r>
              <w:rPr>
                <w:rFonts w:eastAsia="Malgun Gothic" w:cstheme="minorHAnsi"/>
                <w:sz w:val="20"/>
                <w:szCs w:val="20"/>
                <w:lang w:val="en-AU" w:eastAsia="ja-JP"/>
              </w:rPr>
              <w:t>Develop an ESMF, which should include a review of applicable national regulatory instruments and clearly describe further steps and procedures for carrying out risk assessments and developing risk management plans;</w:t>
            </w:r>
          </w:p>
          <w:p w14:paraId="65B9E0CD">
            <w:pPr>
              <w:numPr>
                <w:ilvl w:val="0"/>
                <w:numId w:val="19"/>
              </w:numPr>
              <w:ind w:left="692" w:hanging="274"/>
              <w:rPr>
                <w:rFonts w:eastAsia="Malgun Gothic" w:cstheme="minorHAnsi"/>
                <w:sz w:val="20"/>
                <w:szCs w:val="20"/>
                <w:lang w:val="en-AU" w:eastAsia="ja-JP"/>
              </w:rPr>
            </w:pPr>
            <w:r>
              <w:rPr>
                <w:rFonts w:eastAsia="Malgun Gothic" w:cstheme="minorHAnsi"/>
                <w:sz w:val="20"/>
                <w:szCs w:val="20"/>
                <w:lang w:val="en-AU" w:eastAsia="ja-JP"/>
              </w:rPr>
              <w:t xml:space="preserve">With support of the Gender and Stakeholder Engagement Expert, Assess presence of Indigenous Peoples/ethnic minorities within project landscapes and their interests. If present, assess potential impacts of the project on rights and interests, lands, territories, resources, and traditional livelihoods and determine when FPIC applies in accordance with national contexts and preferences. Carry out consultations with communities at demonstration landscape to assess level of understanding and capacity to give consent and identify community preferences for FPIC process. Based on these assessments, and if relevant, develop an Ethnic Minorities Planning Framework or Plan, and integrate relevant matters as needed including FPIC into project design and into the </w:t>
            </w:r>
            <w:r>
              <w:rPr>
                <w:rFonts w:eastAsia="Malgun Gothic" w:cstheme="minorHAnsi"/>
                <w:b/>
                <w:bCs/>
                <w:sz w:val="20"/>
                <w:szCs w:val="20"/>
                <w:lang w:val="en-AU" w:eastAsia="ja-JP"/>
              </w:rPr>
              <w:t>comprehensive Stakeholder Engagement Plan, ensuring that all FPIC consultations, issues flagged, actions taken and any outcomes are comprehensively documented</w:t>
            </w:r>
            <w:r>
              <w:rPr>
                <w:rFonts w:eastAsia="Malgun Gothic" w:cstheme="minorHAnsi"/>
                <w:sz w:val="20"/>
                <w:szCs w:val="20"/>
                <w:lang w:val="en-AU" w:eastAsia="ja-JP"/>
              </w:rPr>
              <w:t>;</w:t>
            </w:r>
          </w:p>
          <w:p w14:paraId="2DE991D3">
            <w:pPr>
              <w:numPr>
                <w:ilvl w:val="0"/>
                <w:numId w:val="19"/>
              </w:numPr>
              <w:ind w:left="692" w:hanging="274"/>
              <w:rPr>
                <w:rFonts w:eastAsia="Malgun Gothic" w:cstheme="minorHAnsi"/>
                <w:sz w:val="20"/>
                <w:szCs w:val="20"/>
                <w:lang w:val="en-AU" w:eastAsia="ja-JP"/>
              </w:rPr>
            </w:pPr>
            <w:r>
              <w:rPr>
                <w:rFonts w:eastAsia="Malgun Gothic" w:cstheme="minorHAnsi"/>
                <w:sz w:val="20"/>
                <w:szCs w:val="20"/>
                <w:lang w:val="en-AU" w:eastAsia="ja-JP"/>
              </w:rPr>
              <w:t>Develop and integrate a Process Framework into the ESMF and Prodoc as appropriate;</w:t>
            </w:r>
          </w:p>
          <w:p w14:paraId="40BB6816">
            <w:pPr>
              <w:numPr>
                <w:ilvl w:val="0"/>
                <w:numId w:val="19"/>
              </w:numPr>
              <w:ind w:left="692" w:hanging="274"/>
              <w:rPr>
                <w:rFonts w:eastAsia="Malgun Gothic" w:cstheme="minorHAnsi"/>
                <w:sz w:val="20"/>
                <w:szCs w:val="20"/>
                <w:lang w:val="en-AU" w:eastAsia="ja-JP"/>
              </w:rPr>
            </w:pPr>
            <w:r>
              <w:rPr>
                <w:rFonts w:eastAsia="Malgun Gothic" w:cstheme="minorHAnsi"/>
                <w:sz w:val="20"/>
                <w:szCs w:val="20"/>
                <w:lang w:val="en-AU" w:eastAsia="ja-JP"/>
              </w:rPr>
              <w:t xml:space="preserve">Support the completion of any additional studies that are determined to be needed for the preparation of the ProDoc and all other final outputs as guided by the PPG Team Leader. </w:t>
            </w:r>
          </w:p>
          <w:p w14:paraId="340E4628">
            <w:pPr>
              <w:rPr>
                <w:rFonts w:eastAsia="Malgun Gothic" w:cstheme="minorHAnsi"/>
                <w:sz w:val="20"/>
                <w:szCs w:val="20"/>
                <w:lang w:val="en-GB" w:eastAsia="ja-JP"/>
              </w:rPr>
            </w:pPr>
          </w:p>
          <w:p w14:paraId="6AA7E400">
            <w:pPr>
              <w:pStyle w:val="56"/>
              <w:numPr>
                <w:ilvl w:val="0"/>
                <w:numId w:val="18"/>
              </w:numPr>
              <w:ind w:left="430"/>
              <w:rPr>
                <w:rFonts w:cstheme="minorHAnsi"/>
                <w:sz w:val="20"/>
                <w:szCs w:val="20"/>
                <w:u w:val="single"/>
                <w:lang w:val="en-GB" w:eastAsia="ja-JP"/>
              </w:rPr>
            </w:pPr>
            <w:r>
              <w:rPr>
                <w:rFonts w:cstheme="minorHAnsi"/>
                <w:sz w:val="20"/>
                <w:szCs w:val="20"/>
                <w:u w:val="single"/>
                <w:lang w:val="en-AU" w:eastAsia="ja-JP"/>
              </w:rPr>
              <w:t>Formulation of the ProDoc, CEO Endorsement Request and Mandatory Annexes as well as project specific annexes (Component B):</w:t>
            </w:r>
            <w:r>
              <w:rPr>
                <w:rFonts w:cstheme="minorHAnsi"/>
                <w:sz w:val="20"/>
                <w:szCs w:val="20"/>
                <w:u w:val="single"/>
                <w:lang w:val="en-GB" w:eastAsia="ja-JP"/>
              </w:rPr>
              <w:t xml:space="preserve"> </w:t>
            </w:r>
          </w:p>
          <w:p w14:paraId="34325EFF">
            <w:pPr>
              <w:numPr>
                <w:ilvl w:val="0"/>
                <w:numId w:val="20"/>
              </w:numPr>
              <w:ind w:left="692" w:hanging="274"/>
              <w:rPr>
                <w:rFonts w:eastAsia="Malgun Gothic" w:cstheme="minorHAnsi"/>
                <w:sz w:val="20"/>
                <w:szCs w:val="20"/>
                <w:lang w:val="en-AU" w:eastAsia="ja-JP"/>
              </w:rPr>
            </w:pPr>
            <w:r>
              <w:rPr>
                <w:rFonts w:eastAsia="Malgun Gothic" w:cstheme="minorHAnsi"/>
                <w:sz w:val="20"/>
                <w:szCs w:val="20"/>
                <w:lang w:val="en-AU" w:eastAsia="ja-JP"/>
              </w:rPr>
              <w:t>Complete the SESP, based on assessments undertaken during Component A and detailed development of project interventions, and identify management measures to mitigate risks to be incorporated into the ProDoc;</w:t>
            </w:r>
          </w:p>
          <w:p w14:paraId="09EE354D">
            <w:pPr>
              <w:numPr>
                <w:ilvl w:val="0"/>
                <w:numId w:val="20"/>
              </w:numPr>
              <w:ind w:left="692" w:hanging="274"/>
              <w:rPr>
                <w:rFonts w:eastAsia="Malgun Gothic" w:cstheme="minorHAnsi"/>
                <w:sz w:val="20"/>
                <w:szCs w:val="20"/>
                <w:lang w:val="en-AU" w:eastAsia="ja-JP"/>
              </w:rPr>
            </w:pPr>
            <w:r>
              <w:rPr>
                <w:rFonts w:eastAsia="Malgun Gothic" w:cstheme="minorHAnsi"/>
                <w:sz w:val="20"/>
                <w:szCs w:val="20"/>
                <w:lang w:val="en-AU" w:eastAsia="ja-JP"/>
              </w:rPr>
              <w:t>Prepare SES management Plans and ESMF as required (including a community engagement plan consistent with requirements of SES Standard 6)</w:t>
            </w:r>
          </w:p>
          <w:p w14:paraId="6BE7DE40">
            <w:pPr>
              <w:numPr>
                <w:ilvl w:val="0"/>
                <w:numId w:val="20"/>
              </w:numPr>
              <w:ind w:left="692" w:hanging="274"/>
              <w:rPr>
                <w:rFonts w:eastAsia="Malgun Gothic" w:cstheme="minorHAnsi"/>
                <w:sz w:val="20"/>
                <w:szCs w:val="20"/>
                <w:lang w:val="en-AU" w:eastAsia="ja-JP"/>
              </w:rPr>
            </w:pPr>
            <w:r>
              <w:rPr>
                <w:rFonts w:eastAsia="Malgun Gothic" w:cstheme="minorHAnsi"/>
                <w:sz w:val="20"/>
                <w:szCs w:val="20"/>
                <w:lang w:val="en-AU" w:eastAsia="ja-JP"/>
              </w:rPr>
              <w:t>Using the findings from the gender analysis, provide inputs to the project’s results framework and theory of change; ensure gender considerations are integrated into the project’s theory of change;</w:t>
            </w:r>
          </w:p>
          <w:p w14:paraId="774764E3">
            <w:pPr>
              <w:numPr>
                <w:ilvl w:val="0"/>
                <w:numId w:val="20"/>
              </w:numPr>
              <w:ind w:left="692" w:hanging="274"/>
              <w:rPr>
                <w:rFonts w:eastAsia="Malgun Gothic" w:cstheme="minorHAnsi"/>
                <w:sz w:val="20"/>
                <w:szCs w:val="20"/>
                <w:lang w:val="en-AU" w:eastAsia="ja-JP"/>
              </w:rPr>
            </w:pPr>
            <w:r>
              <w:rPr>
                <w:rFonts w:eastAsia="Malgun Gothic" w:cstheme="minorHAnsi"/>
                <w:sz w:val="20"/>
                <w:szCs w:val="20"/>
                <w:lang w:val="en-AU" w:eastAsia="ja-JP"/>
              </w:rPr>
              <w:t>Provide inputs for the development of the Stakeholder Engagement Plan to ensure it is complying with UNDP FPIC process in particular consideration of Indigenous people or Ethnic minorities.</w:t>
            </w:r>
          </w:p>
          <w:p w14:paraId="695F552A">
            <w:pPr>
              <w:pStyle w:val="56"/>
              <w:numPr>
                <w:ilvl w:val="1"/>
                <w:numId w:val="16"/>
              </w:numPr>
              <w:ind w:left="691" w:hanging="270"/>
              <w:rPr>
                <w:rFonts w:eastAsia="Calibri" w:cstheme="minorHAnsi"/>
                <w:sz w:val="20"/>
                <w:szCs w:val="20"/>
                <w:lang w:val="en-GB"/>
              </w:rPr>
            </w:pPr>
            <w:r>
              <w:rPr>
                <w:rFonts w:eastAsia="Malgun Gothic" w:cstheme="minorHAnsi"/>
                <w:sz w:val="20"/>
                <w:szCs w:val="20"/>
                <w:lang w:val="en-AU" w:eastAsia="ja-JP"/>
              </w:rPr>
              <w:t xml:space="preserve">Support the agreements on project management arrangements and ensure that gender and safeguards are adequately incorporated into these arrangements. </w:t>
            </w:r>
          </w:p>
          <w:p w14:paraId="49E8F25D">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Support the resolving of comments and address all feedback as necessary until final GEF CEO Endorsement</w:t>
            </w:r>
          </w:p>
          <w:p w14:paraId="306871BB">
            <w:pPr>
              <w:rPr>
                <w:rFonts w:eastAsia="Malgun Gothic" w:cstheme="minorHAnsi"/>
                <w:sz w:val="20"/>
                <w:szCs w:val="20"/>
                <w:lang w:val="en-AU" w:eastAsia="ja-JP"/>
              </w:rPr>
            </w:pPr>
          </w:p>
          <w:p w14:paraId="0C4D2944">
            <w:pPr>
              <w:rPr>
                <w:rFonts w:eastAsia="Malgun Gothic" w:cstheme="minorHAnsi"/>
                <w:sz w:val="20"/>
                <w:szCs w:val="20"/>
                <w:lang w:val="en-GB" w:eastAsia="ja-JP"/>
              </w:rPr>
            </w:pPr>
          </w:p>
          <w:p w14:paraId="389F1510">
            <w:pPr>
              <w:pStyle w:val="56"/>
              <w:numPr>
                <w:ilvl w:val="0"/>
                <w:numId w:val="18"/>
              </w:numPr>
              <w:ind w:left="430"/>
              <w:rPr>
                <w:rFonts w:cstheme="minorHAnsi"/>
                <w:sz w:val="20"/>
                <w:szCs w:val="20"/>
                <w:u w:val="single"/>
                <w:lang w:val="en-AU" w:eastAsia="ja-JP"/>
              </w:rPr>
            </w:pPr>
            <w:r>
              <w:rPr>
                <w:rFonts w:cstheme="minorHAnsi"/>
                <w:sz w:val="20"/>
                <w:szCs w:val="20"/>
                <w:u w:val="single"/>
                <w:lang w:val="en-AU" w:eastAsia="ja-JP"/>
              </w:rPr>
              <w:t xml:space="preserve">Validation Workshop (Component C): </w:t>
            </w:r>
          </w:p>
          <w:p w14:paraId="1F89A8F4">
            <w:pPr>
              <w:numPr>
                <w:ilvl w:val="0"/>
                <w:numId w:val="21"/>
              </w:numPr>
              <w:ind w:left="692" w:hanging="274"/>
              <w:rPr>
                <w:rFonts w:eastAsia="Malgun Gothic" w:cstheme="minorHAnsi"/>
                <w:sz w:val="20"/>
                <w:szCs w:val="20"/>
                <w:lang w:val="en-GB" w:eastAsia="ja-JP"/>
              </w:rPr>
            </w:pPr>
            <w:r>
              <w:rPr>
                <w:rFonts w:eastAsia="Malgun Gothic" w:cstheme="minorHAnsi"/>
                <w:sz w:val="20"/>
                <w:szCs w:val="20"/>
                <w:lang w:val="en-GB" w:eastAsia="ja-JP"/>
              </w:rPr>
              <w:t>Contribute to the validation process and workshop including at inception stages;</w:t>
            </w:r>
          </w:p>
          <w:p w14:paraId="5FCECA91">
            <w:pPr>
              <w:numPr>
                <w:ilvl w:val="0"/>
                <w:numId w:val="21"/>
              </w:numPr>
              <w:ind w:left="692" w:hanging="274"/>
              <w:rPr>
                <w:rFonts w:cstheme="minorHAnsi"/>
                <w:lang w:val="en-GB"/>
              </w:rPr>
            </w:pPr>
            <w:r>
              <w:rPr>
                <w:rFonts w:eastAsia="Malgun Gothic" w:cstheme="minorHAnsi"/>
                <w:sz w:val="20"/>
                <w:szCs w:val="20"/>
                <w:lang w:val="en-GB" w:eastAsia="ja-JP"/>
              </w:rPr>
              <w:t>Support all necessary revisions that arise during the workshops, as appropriate;</w:t>
            </w:r>
          </w:p>
          <w:p w14:paraId="22788016">
            <w:pPr>
              <w:numPr>
                <w:ilvl w:val="0"/>
                <w:numId w:val="21"/>
              </w:numPr>
              <w:ind w:left="692" w:hanging="274"/>
              <w:rPr>
                <w:rFonts w:eastAsia="Calibri" w:cstheme="minorHAnsi"/>
                <w:sz w:val="20"/>
                <w:szCs w:val="20"/>
                <w:lang w:val="en-GB"/>
              </w:rPr>
            </w:pPr>
            <w:r>
              <w:rPr>
                <w:rFonts w:eastAsia="Calibri" w:cstheme="minorHAnsi"/>
                <w:sz w:val="20"/>
                <w:szCs w:val="20"/>
                <w:lang w:val="en-GB"/>
              </w:rPr>
              <w:t>Contribute to the completion of both the Inception and the Validation Workshop Reports.</w:t>
            </w:r>
          </w:p>
          <w:p w14:paraId="0DE27D6F">
            <w:pPr>
              <w:rPr>
                <w:rFonts w:cstheme="minorHAnsi"/>
                <w:lang w:val="en-GB"/>
              </w:rPr>
            </w:pPr>
          </w:p>
          <w:p w14:paraId="04CCD649">
            <w:pPr>
              <w:pStyle w:val="56"/>
              <w:numPr>
                <w:ilvl w:val="0"/>
                <w:numId w:val="18"/>
              </w:numPr>
              <w:ind w:left="430"/>
              <w:rPr>
                <w:rFonts w:cstheme="minorHAnsi"/>
                <w:sz w:val="20"/>
                <w:szCs w:val="20"/>
                <w:u w:val="single"/>
                <w:lang w:val="en-AU" w:eastAsia="ja-JP"/>
              </w:rPr>
            </w:pPr>
            <w:r>
              <w:rPr>
                <w:rFonts w:cstheme="minorHAnsi"/>
                <w:sz w:val="20"/>
                <w:szCs w:val="20"/>
                <w:u w:val="single"/>
                <w:lang w:val="en-AU" w:eastAsia="ja-JP"/>
              </w:rPr>
              <w:t>Final Deliverables:</w:t>
            </w:r>
          </w:p>
          <w:p w14:paraId="4B0FEC83">
            <w:pPr>
              <w:numPr>
                <w:ilvl w:val="0"/>
                <w:numId w:val="22"/>
              </w:numPr>
              <w:ind w:left="692" w:hanging="274"/>
              <w:rPr>
                <w:rFonts w:eastAsia="Malgun Gothic" w:cstheme="minorHAnsi"/>
                <w:sz w:val="20"/>
                <w:szCs w:val="20"/>
                <w:lang w:val="en-AU" w:eastAsia="ja-JP"/>
              </w:rPr>
            </w:pPr>
            <w:r>
              <w:rPr>
                <w:rFonts w:eastAsia="Malgun Gothic" w:cstheme="minorHAnsi"/>
                <w:sz w:val="20"/>
                <w:szCs w:val="20"/>
                <w:lang w:val="en-AU" w:eastAsia="ja-JP"/>
              </w:rPr>
              <w:t>Finalized Social and Environmental Screening (SESP);</w:t>
            </w:r>
          </w:p>
          <w:p w14:paraId="5002E0B0">
            <w:pPr>
              <w:numPr>
                <w:ilvl w:val="0"/>
                <w:numId w:val="22"/>
              </w:numPr>
              <w:ind w:left="692" w:hanging="274"/>
              <w:rPr>
                <w:rFonts w:eastAsia="Malgun Gothic" w:cstheme="minorHAnsi"/>
                <w:sz w:val="20"/>
                <w:szCs w:val="20"/>
                <w:lang w:val="en-AU" w:eastAsia="ja-JP"/>
              </w:rPr>
            </w:pPr>
            <w:r>
              <w:rPr>
                <w:rFonts w:eastAsia="Malgun Gothic" w:cstheme="minorHAnsi"/>
                <w:sz w:val="20"/>
                <w:szCs w:val="20"/>
                <w:lang w:val="en-AU" w:eastAsia="ja-JP"/>
              </w:rPr>
              <w:t>Finalized SES management plans and ESMF as required;</w:t>
            </w:r>
          </w:p>
          <w:p w14:paraId="18257C8B">
            <w:pPr>
              <w:numPr>
                <w:ilvl w:val="0"/>
                <w:numId w:val="22"/>
              </w:numPr>
              <w:ind w:left="692" w:hanging="274"/>
              <w:rPr>
                <w:rFonts w:eastAsia="Malgun Gothic" w:cstheme="minorHAnsi"/>
                <w:sz w:val="20"/>
                <w:szCs w:val="20"/>
                <w:lang w:val="en-AU" w:eastAsia="ja-JP"/>
              </w:rPr>
            </w:pPr>
            <w:r>
              <w:rPr>
                <w:rFonts w:eastAsia="Malgun Gothic" w:cstheme="minorHAnsi"/>
                <w:sz w:val="20"/>
                <w:szCs w:val="20"/>
                <w:lang w:val="en-AU" w:eastAsia="ja-JP"/>
              </w:rPr>
              <w:t>Appropriate inputs to the comprehensive Stakeholder Engagement Plan on any Indigenous Peoples or Ethnic Minorities present within the demonstration landscape (the equivalent of an IPPF could be incorporated into the SEP);</w:t>
            </w:r>
          </w:p>
          <w:p w14:paraId="4CB0B262">
            <w:pPr>
              <w:numPr>
                <w:ilvl w:val="0"/>
                <w:numId w:val="22"/>
              </w:numPr>
              <w:ind w:left="692" w:hanging="274"/>
              <w:rPr>
                <w:rFonts w:eastAsia="Malgun Gothic" w:cstheme="minorHAnsi"/>
                <w:sz w:val="20"/>
                <w:szCs w:val="20"/>
                <w:lang w:val="en-AU"/>
              </w:rPr>
            </w:pPr>
            <w:r>
              <w:rPr>
                <w:rFonts w:eastAsia="Malgun Gothic" w:cstheme="minorHAnsi"/>
                <w:sz w:val="20"/>
                <w:szCs w:val="20"/>
                <w:lang w:val="en-AU" w:eastAsia="ja-JP"/>
              </w:rPr>
              <w:t>Process Framework as appropriate;</w:t>
            </w:r>
          </w:p>
          <w:p w14:paraId="5C91DABD">
            <w:pPr>
              <w:numPr>
                <w:ilvl w:val="0"/>
                <w:numId w:val="22"/>
              </w:numPr>
              <w:ind w:left="692" w:hanging="274"/>
              <w:rPr>
                <w:rFonts w:eastAsia="Malgun Gothic" w:cstheme="minorHAnsi"/>
                <w:sz w:val="20"/>
                <w:szCs w:val="20"/>
                <w:lang w:val="en-AU"/>
              </w:rPr>
            </w:pPr>
            <w:r>
              <w:rPr>
                <w:rFonts w:eastAsia="Malgun Gothic" w:cstheme="minorHAnsi"/>
                <w:sz w:val="20"/>
                <w:szCs w:val="20"/>
                <w:lang w:val="en-AU" w:eastAsia="ja-JP"/>
              </w:rPr>
              <w:t>Appropriate inputs to the final UNDP‐GEF project document based on guidance from the PPG Team Leader.</w:t>
            </w:r>
          </w:p>
          <w:p w14:paraId="717A95E7">
            <w:pPr>
              <w:numPr>
                <w:ilvl w:val="0"/>
                <w:numId w:val="22"/>
              </w:numPr>
              <w:ind w:left="692" w:hanging="274"/>
              <w:rPr>
                <w:rFonts w:eastAsia="Malgun Gothic" w:cstheme="minorHAnsi"/>
                <w:sz w:val="20"/>
                <w:szCs w:val="20"/>
                <w:lang w:val="en-AU"/>
              </w:rPr>
            </w:pPr>
            <w:r>
              <w:rPr>
                <w:rFonts w:eastAsia="Malgun Gothic" w:cstheme="minorHAnsi"/>
                <w:sz w:val="20"/>
                <w:szCs w:val="20"/>
                <w:lang w:val="en-GB"/>
              </w:rPr>
              <w:t xml:space="preserve">Upon request from the UNDP </w:t>
            </w:r>
            <w:r>
              <w:rPr>
                <w:rFonts w:eastAsia="Malgun Gothic" w:cstheme="minorHAnsi"/>
                <w:sz w:val="20"/>
                <w:szCs w:val="20"/>
                <w:lang w:val="en-AU"/>
              </w:rPr>
              <w:t>Regional Technical Adviser/Regional Technical Specialist during the PPG implementation, the PPG team may be required to prepare additional annexes.</w:t>
            </w:r>
          </w:p>
          <w:p w14:paraId="32BC0F4D">
            <w:pPr>
              <w:ind w:left="720"/>
              <w:rPr>
                <w:rFonts w:eastAsia="Malgun Gothic" w:cstheme="minorHAnsi"/>
                <w:sz w:val="20"/>
                <w:szCs w:val="20"/>
                <w:lang w:val="en-AU" w:eastAsia="ja-JP"/>
              </w:rPr>
            </w:pPr>
          </w:p>
          <w:p w14:paraId="15C01D29">
            <w:pPr>
              <w:rPr>
                <w:rFonts w:eastAsia="Malgun Gothic" w:cstheme="minorHAnsi"/>
                <w:b/>
                <w:sz w:val="20"/>
                <w:szCs w:val="20"/>
                <w:lang w:val="en-GB" w:eastAsia="ja-JP"/>
              </w:rPr>
            </w:pPr>
          </w:p>
          <w:p w14:paraId="14F5A8CB">
            <w:pPr>
              <w:rPr>
                <w:rFonts w:eastAsia="Malgun Gothic" w:cstheme="minorHAnsi"/>
                <w:b/>
                <w:sz w:val="20"/>
                <w:szCs w:val="20"/>
                <w:lang w:val="en-GB" w:eastAsia="ja-JP"/>
              </w:rPr>
            </w:pPr>
            <w:r>
              <w:rPr>
                <w:rFonts w:eastAsia="Malgun Gothic" w:cstheme="minorHAnsi"/>
                <w:b/>
                <w:sz w:val="20"/>
                <w:szCs w:val="20"/>
                <w:lang w:val="en-GB" w:eastAsia="ja-JP"/>
              </w:rPr>
              <w:t>Qualifications</w:t>
            </w:r>
          </w:p>
          <w:p w14:paraId="32A35DDB">
            <w:pPr>
              <w:numPr>
                <w:ilvl w:val="0"/>
                <w:numId w:val="17"/>
              </w:numPr>
              <w:rPr>
                <w:rFonts w:eastAsia="Malgun Gothic" w:cstheme="minorHAnsi"/>
                <w:sz w:val="20"/>
                <w:szCs w:val="20"/>
                <w:lang w:val="en-GB" w:eastAsia="ja-JP"/>
              </w:rPr>
            </w:pPr>
            <w:r>
              <w:rPr>
                <w:rFonts w:eastAsia="Malgun Gothic" w:cstheme="minorHAnsi"/>
                <w:sz w:val="20"/>
                <w:szCs w:val="20"/>
                <w:lang w:val="en-GB" w:eastAsia="ja-JP"/>
              </w:rPr>
              <w:t>Master’s degree or higher in Environmental engineering, Civil Engineering, Natural Resource management, Environment Science or Landscape Planning;</w:t>
            </w:r>
          </w:p>
          <w:p w14:paraId="122A287C">
            <w:pPr>
              <w:numPr>
                <w:ilvl w:val="0"/>
                <w:numId w:val="17"/>
              </w:numPr>
              <w:rPr>
                <w:rFonts w:eastAsia="Malgun Gothic" w:cstheme="minorHAnsi"/>
                <w:sz w:val="20"/>
                <w:szCs w:val="20"/>
                <w:lang w:val="en-GB" w:eastAsia="ja-JP"/>
              </w:rPr>
            </w:pPr>
            <w:r>
              <w:rPr>
                <w:rFonts w:eastAsia="Malgun Gothic" w:cstheme="minorHAnsi"/>
                <w:sz w:val="20"/>
                <w:szCs w:val="20"/>
                <w:lang w:val="en-GB" w:eastAsia="ja-JP"/>
              </w:rPr>
              <w:t>Minimum 7 years of demonstrable experience in the technical area of social and environmental safeguards risk assessment and mitigation with particular experience in the UNDP SES Policy;</w:t>
            </w:r>
          </w:p>
          <w:p w14:paraId="1D33EE23">
            <w:pPr>
              <w:numPr>
                <w:ilvl w:val="0"/>
                <w:numId w:val="17"/>
              </w:numPr>
              <w:rPr>
                <w:rFonts w:eastAsia="Malgun Gothic" w:cstheme="minorHAnsi"/>
                <w:sz w:val="20"/>
                <w:szCs w:val="20"/>
                <w:lang w:val="en-GB" w:eastAsia="ja-JP"/>
              </w:rPr>
            </w:pPr>
            <w:r>
              <w:rPr>
                <w:rFonts w:eastAsia="Malgun Gothic" w:cstheme="minorHAnsi"/>
                <w:sz w:val="20"/>
                <w:szCs w:val="20"/>
                <w:lang w:val="en-GB" w:eastAsia="ja-JP"/>
              </w:rPr>
              <w:t>Prior experience in the safeguards assessments and processes of international organizations and donors, such as World Bank, UNDP, etc;</w:t>
            </w:r>
          </w:p>
          <w:p w14:paraId="0F2833FC">
            <w:pPr>
              <w:numPr>
                <w:ilvl w:val="0"/>
                <w:numId w:val="17"/>
              </w:numPr>
              <w:rPr>
                <w:rFonts w:eastAsia="Malgun Gothic" w:cstheme="minorHAnsi"/>
                <w:sz w:val="20"/>
                <w:szCs w:val="20"/>
                <w:lang w:val="en-GB" w:eastAsia="ja-JP"/>
              </w:rPr>
            </w:pPr>
            <w:r>
              <w:rPr>
                <w:rFonts w:eastAsia="Malgun Gothic" w:cstheme="minorHAnsi"/>
                <w:sz w:val="20"/>
                <w:szCs w:val="20"/>
                <w:lang w:val="en-GB" w:eastAsia="ja-JP"/>
              </w:rPr>
              <w:t>Demonstrated understanding of the links between sustainable development, social and gender issues;</w:t>
            </w:r>
          </w:p>
          <w:p w14:paraId="365B8234">
            <w:pPr>
              <w:numPr>
                <w:ilvl w:val="0"/>
                <w:numId w:val="17"/>
              </w:numPr>
              <w:rPr>
                <w:rFonts w:eastAsia="Malgun Gothic" w:cstheme="minorHAnsi"/>
                <w:sz w:val="20"/>
                <w:szCs w:val="20"/>
                <w:lang w:val="en-GB" w:eastAsia="ja-JP"/>
              </w:rPr>
            </w:pPr>
            <w:r>
              <w:rPr>
                <w:rFonts w:eastAsia="Malgun Gothic" w:cstheme="minorHAnsi"/>
                <w:sz w:val="20"/>
                <w:szCs w:val="20"/>
                <w:lang w:val="en-GB" w:eastAsia="ja-JP"/>
              </w:rPr>
              <w:t>Demonstrated experience working on policy and programmatic issues with national and local governments and civil society organizations including community organizations;</w:t>
            </w:r>
          </w:p>
          <w:p w14:paraId="64D66E72">
            <w:pPr>
              <w:numPr>
                <w:ilvl w:val="0"/>
                <w:numId w:val="17"/>
              </w:numPr>
              <w:rPr>
                <w:rFonts w:eastAsia="Malgun Gothic" w:cstheme="minorHAnsi"/>
                <w:sz w:val="20"/>
                <w:szCs w:val="20"/>
                <w:lang w:val="en-GB" w:eastAsia="ja-JP"/>
              </w:rPr>
            </w:pPr>
            <w:r>
              <w:rPr>
                <w:rFonts w:eastAsia="Malgun Gothic" w:cstheme="minorHAnsi"/>
                <w:sz w:val="20"/>
                <w:szCs w:val="20"/>
                <w:lang w:val="en-GB" w:eastAsia="ja-JP"/>
              </w:rPr>
              <w:t>Demonstrated experience in carrying out consultations with Indigenous Peoples, FPIC, protection of cultural heritage, and/or community engagement is highly desired;</w:t>
            </w:r>
          </w:p>
          <w:p w14:paraId="616928E4">
            <w:pPr>
              <w:numPr>
                <w:ilvl w:val="0"/>
                <w:numId w:val="17"/>
              </w:numPr>
              <w:rPr>
                <w:rFonts w:eastAsia="Malgun Gothic" w:cstheme="minorHAnsi"/>
                <w:sz w:val="20"/>
                <w:szCs w:val="20"/>
                <w:lang w:val="en-GB" w:eastAsia="ja-JP"/>
              </w:rPr>
            </w:pPr>
            <w:r>
              <w:rPr>
                <w:rFonts w:eastAsia="Malgun Gothic" w:cstheme="minorHAnsi"/>
                <w:sz w:val="20"/>
                <w:szCs w:val="20"/>
                <w:lang w:val="en-GB" w:eastAsia="ja-JP"/>
              </w:rPr>
              <w:t>Experience with project development and results-based management methodologies is highly desired;</w:t>
            </w:r>
          </w:p>
          <w:p w14:paraId="7FD0B3A4">
            <w:pPr>
              <w:numPr>
                <w:ilvl w:val="0"/>
                <w:numId w:val="17"/>
              </w:numPr>
              <w:rPr>
                <w:rFonts w:eastAsia="Malgun Gothic" w:cstheme="minorHAnsi"/>
                <w:b/>
                <w:sz w:val="20"/>
                <w:szCs w:val="20"/>
                <w:lang w:val="en-GB" w:eastAsia="ja-JP"/>
              </w:rPr>
            </w:pPr>
            <w:r>
              <w:rPr>
                <w:rFonts w:eastAsia="Malgun Gothic" w:cstheme="minorHAnsi"/>
                <w:sz w:val="20"/>
                <w:szCs w:val="20"/>
                <w:lang w:val="en-GB" w:eastAsia="ja-JP"/>
              </w:rPr>
              <w:t>Excellent analytical, writing, advocacy, presentation, and communications skills are required; and Excellent written and oral communication skills in English.</w:t>
            </w:r>
          </w:p>
        </w:tc>
      </w:tr>
      <w:tr w14:paraId="25E504EA">
        <w:trPr>
          <w:trHeight w:val="300" w:hRule="atLeast"/>
        </w:trPr>
        <w:tc>
          <w:tcPr>
            <w:tcW w:w="1673" w:type="dxa"/>
          </w:tcPr>
          <w:p w14:paraId="5D6B0E67">
            <w:pPr>
              <w:rPr>
                <w:rFonts w:eastAsia="Calibri" w:cstheme="minorHAnsi"/>
                <w:b/>
                <w:bCs/>
                <w:sz w:val="20"/>
                <w:szCs w:val="20"/>
                <w:lang w:val="en-GB"/>
              </w:rPr>
            </w:pPr>
            <w:r>
              <w:rPr>
                <w:rFonts w:eastAsia="Calibri" w:cstheme="minorHAnsi"/>
                <w:b/>
                <w:bCs/>
                <w:sz w:val="20"/>
                <w:szCs w:val="20"/>
                <w:lang w:val="en-GB"/>
              </w:rPr>
              <w:t>Consultant:</w:t>
            </w:r>
          </w:p>
          <w:p w14:paraId="5C628879">
            <w:pPr>
              <w:rPr>
                <w:rFonts w:eastAsia="Calibri" w:cstheme="minorHAnsi"/>
                <w:sz w:val="20"/>
                <w:szCs w:val="20"/>
                <w:lang w:val="en-GB"/>
              </w:rPr>
            </w:pPr>
            <w:r>
              <w:rPr>
                <w:rFonts w:eastAsia="Calibri" w:cstheme="minorHAnsi"/>
                <w:sz w:val="20"/>
                <w:szCs w:val="20"/>
                <w:lang w:val="en-GB"/>
              </w:rPr>
              <w:t xml:space="preserve">National Natural Resources Management and Nature-based Solution Specialist (National Team Leader) </w:t>
            </w:r>
          </w:p>
          <w:p w14:paraId="0F9A8DE0">
            <w:pPr>
              <w:rPr>
                <w:rFonts w:eastAsia="Calibri" w:cstheme="minorHAnsi"/>
                <w:b/>
                <w:sz w:val="20"/>
                <w:szCs w:val="20"/>
                <w:lang w:val="en-GB"/>
              </w:rPr>
            </w:pPr>
            <w:r>
              <w:rPr>
                <w:rFonts w:eastAsia="Calibri" w:cstheme="minorHAnsi"/>
                <w:b/>
                <w:bCs/>
                <w:sz w:val="20"/>
                <w:szCs w:val="20"/>
                <w:lang w:val="en-GB"/>
              </w:rPr>
              <w:t xml:space="preserve"> </w:t>
            </w:r>
            <w:r>
              <w:rPr>
                <w:rFonts w:eastAsia="Calibri" w:cstheme="minorHAnsi"/>
                <w:b/>
                <w:sz w:val="20"/>
                <w:szCs w:val="20"/>
                <w:lang w:val="en-GB"/>
              </w:rPr>
              <w:t xml:space="preserve"> </w:t>
            </w:r>
          </w:p>
          <w:p w14:paraId="68854AA9">
            <w:pPr>
              <w:rPr>
                <w:rFonts w:eastAsia="Calibri" w:cstheme="minorHAnsi"/>
                <w:sz w:val="20"/>
                <w:szCs w:val="20"/>
                <w:lang w:val="en-GB"/>
              </w:rPr>
            </w:pPr>
            <w:r>
              <w:rPr>
                <w:rFonts w:eastAsia="Calibri" w:cstheme="minorHAnsi"/>
                <w:b/>
                <w:bCs/>
                <w:sz w:val="20"/>
                <w:szCs w:val="20"/>
                <w:lang w:val="en-GB"/>
              </w:rPr>
              <w:t>Type:</w:t>
            </w:r>
            <w:r>
              <w:rPr>
                <w:rFonts w:eastAsia="Calibri" w:cstheme="minorHAnsi"/>
                <w:b/>
                <w:sz w:val="20"/>
                <w:szCs w:val="20"/>
                <w:lang w:val="en-GB"/>
              </w:rPr>
              <w:t xml:space="preserve"> </w:t>
            </w:r>
            <w:r>
              <w:rPr>
                <w:rFonts w:eastAsia="Calibri" w:cstheme="minorHAnsi"/>
                <w:sz w:val="20"/>
                <w:szCs w:val="20"/>
                <w:lang w:val="en-GB"/>
              </w:rPr>
              <w:t xml:space="preserve">NC </w:t>
            </w:r>
          </w:p>
          <w:p w14:paraId="18E9701B">
            <w:pPr>
              <w:rPr>
                <w:rFonts w:eastAsia="Calibri" w:cstheme="minorHAnsi"/>
                <w:b/>
                <w:sz w:val="20"/>
                <w:szCs w:val="20"/>
                <w:lang w:val="en-GB"/>
              </w:rPr>
            </w:pPr>
            <w:r>
              <w:rPr>
                <w:rFonts w:eastAsia="Calibri" w:cstheme="minorHAnsi"/>
                <w:b/>
                <w:bCs/>
                <w:sz w:val="20"/>
                <w:szCs w:val="20"/>
                <w:lang w:val="en-GB"/>
              </w:rPr>
              <w:t xml:space="preserve"> </w:t>
            </w:r>
            <w:r>
              <w:rPr>
                <w:rFonts w:eastAsia="Calibri" w:cstheme="minorHAnsi"/>
                <w:b/>
                <w:sz w:val="20"/>
                <w:szCs w:val="20"/>
                <w:lang w:val="en-GB"/>
              </w:rPr>
              <w:t xml:space="preserve"> </w:t>
            </w:r>
          </w:p>
          <w:p w14:paraId="00D75AA6">
            <w:pPr>
              <w:rPr>
                <w:rFonts w:eastAsia="Calibri" w:cstheme="minorHAnsi"/>
                <w:sz w:val="20"/>
                <w:szCs w:val="20"/>
                <w:lang w:val="en-GB"/>
              </w:rPr>
            </w:pPr>
            <w:r>
              <w:rPr>
                <w:rFonts w:eastAsia="Calibri" w:cstheme="minorHAnsi"/>
                <w:b/>
                <w:bCs/>
                <w:sz w:val="20"/>
                <w:szCs w:val="20"/>
                <w:lang w:val="en-GB"/>
              </w:rPr>
              <w:t>Cost per person-week:</w:t>
            </w:r>
            <w:r>
              <w:rPr>
                <w:rFonts w:eastAsia="Calibri" w:cstheme="minorHAnsi"/>
                <w:sz w:val="20"/>
                <w:szCs w:val="20"/>
                <w:lang w:val="en-GB"/>
              </w:rPr>
              <w:t xml:space="preserve"> $1,750 </w:t>
            </w:r>
          </w:p>
          <w:p w14:paraId="1932FFE7">
            <w:pPr>
              <w:rPr>
                <w:rFonts w:eastAsia="Calibri" w:cstheme="minorHAnsi"/>
                <w:b/>
                <w:sz w:val="20"/>
                <w:szCs w:val="20"/>
                <w:lang w:val="en-GB"/>
              </w:rPr>
            </w:pPr>
            <w:r>
              <w:rPr>
                <w:rFonts w:eastAsia="Calibri" w:cstheme="minorHAnsi"/>
                <w:b/>
                <w:bCs/>
                <w:sz w:val="20"/>
                <w:szCs w:val="20"/>
                <w:lang w:val="en-GB"/>
              </w:rPr>
              <w:t xml:space="preserve"> </w:t>
            </w:r>
            <w:r>
              <w:rPr>
                <w:rFonts w:eastAsia="Calibri" w:cstheme="minorHAnsi"/>
                <w:b/>
                <w:sz w:val="20"/>
                <w:szCs w:val="20"/>
                <w:lang w:val="en-GB"/>
              </w:rPr>
              <w:t xml:space="preserve"> </w:t>
            </w:r>
          </w:p>
          <w:p w14:paraId="3B80211B">
            <w:pPr>
              <w:rPr>
                <w:rFonts w:eastAsia="Calibri" w:cstheme="minorHAnsi"/>
                <w:sz w:val="20"/>
                <w:szCs w:val="20"/>
                <w:lang w:val="en-GB"/>
              </w:rPr>
            </w:pPr>
            <w:r>
              <w:rPr>
                <w:rFonts w:eastAsia="Calibri" w:cstheme="minorHAnsi"/>
                <w:b/>
                <w:bCs/>
                <w:sz w:val="20"/>
                <w:szCs w:val="20"/>
                <w:lang w:val="en-GB"/>
              </w:rPr>
              <w:t>Number of person-weeks needed:</w:t>
            </w:r>
            <w:r>
              <w:rPr>
                <w:rFonts w:eastAsia="Calibri" w:cstheme="minorHAnsi"/>
                <w:b/>
                <w:sz w:val="20"/>
                <w:szCs w:val="20"/>
                <w:lang w:val="en-GB"/>
              </w:rPr>
              <w:t xml:space="preserve"> </w:t>
            </w:r>
            <w:r>
              <w:rPr>
                <w:rFonts w:eastAsia="Calibri" w:cstheme="minorHAnsi"/>
                <w:sz w:val="20"/>
                <w:szCs w:val="20"/>
                <w:lang w:val="en-GB"/>
              </w:rPr>
              <w:t>10</w:t>
            </w:r>
          </w:p>
          <w:p w14:paraId="3822D55E">
            <w:pPr>
              <w:rPr>
                <w:rFonts w:eastAsia="Calibri" w:cstheme="minorHAnsi"/>
                <w:b/>
                <w:sz w:val="20"/>
                <w:szCs w:val="20"/>
                <w:lang w:val="en-GB"/>
              </w:rPr>
            </w:pPr>
          </w:p>
        </w:tc>
        <w:tc>
          <w:tcPr>
            <w:tcW w:w="7564" w:type="dxa"/>
          </w:tcPr>
          <w:p w14:paraId="5033F6F8">
            <w:pPr>
              <w:rPr>
                <w:rFonts w:eastAsia="Calibri" w:cstheme="minorHAnsi"/>
                <w:sz w:val="20"/>
                <w:szCs w:val="20"/>
                <w:lang w:val="en-GB"/>
              </w:rPr>
            </w:pPr>
            <w:r>
              <w:rPr>
                <w:rFonts w:eastAsia="Calibri" w:cstheme="minorHAnsi"/>
                <w:b/>
                <w:bCs/>
                <w:sz w:val="20"/>
                <w:szCs w:val="20"/>
                <w:lang w:val="en-GB"/>
              </w:rPr>
              <w:t>Role</w:t>
            </w:r>
            <w:r>
              <w:rPr>
                <w:rFonts w:eastAsia="Calibri" w:cstheme="minorHAnsi"/>
                <w:sz w:val="20"/>
                <w:szCs w:val="20"/>
                <w:lang w:val="en-GB"/>
              </w:rPr>
              <w:t xml:space="preserve"> </w:t>
            </w:r>
          </w:p>
          <w:p w14:paraId="1FB8236A">
            <w:pPr>
              <w:rPr>
                <w:rFonts w:eastAsia="Calibri" w:cstheme="minorHAnsi"/>
                <w:sz w:val="20"/>
                <w:szCs w:val="20"/>
                <w:lang w:val="en-GB"/>
              </w:rPr>
            </w:pPr>
            <w:r>
              <w:rPr>
                <w:rFonts w:eastAsia="Calibri" w:cstheme="minorHAnsi"/>
                <w:sz w:val="20"/>
                <w:szCs w:val="20"/>
                <w:lang w:val="en-GB"/>
              </w:rPr>
              <w:t xml:space="preserve">The National natural resources management and nature-based solutions (NbS) Specialist will be the lead national consultant and will develop mandatory project Annexes related to application of integrated natural resources management and nature-based solutions as part of the project, while support adherence of project development to GEF guidance UNDP’s SESP and specific requirements, as appropriate. The consultant will be a natural resources management and nature-based solution expert with experience  in (a) developing biodiversity-oriented natural resources management including spatial planning, land-use regulation and natural capital accounts; (b) identifying nature-based solutions in key ecosystems of both natural and productive landscapes to support the tourism, food (agriculture and fisheries) and urban sectors,  (c) conducting baseline analysis and surveys, ecosystem restoration and conservation, capacity building in these fields, (d) preparing land-use guidelines and natural resources management plans. </w:t>
            </w:r>
          </w:p>
          <w:p w14:paraId="139C0E58">
            <w:pPr>
              <w:rPr>
                <w:rFonts w:eastAsia="Calibri" w:cstheme="minorHAnsi"/>
                <w:sz w:val="20"/>
                <w:szCs w:val="20"/>
                <w:lang w:val="en-GB"/>
              </w:rPr>
            </w:pPr>
            <w:r>
              <w:rPr>
                <w:rFonts w:eastAsia="Calibri" w:cstheme="minorHAnsi"/>
                <w:sz w:val="20"/>
                <w:szCs w:val="20"/>
                <w:lang w:val="en-GB"/>
              </w:rPr>
              <w:t xml:space="preserve">  </w:t>
            </w:r>
          </w:p>
          <w:p w14:paraId="1BC5EF8F">
            <w:pPr>
              <w:rPr>
                <w:rFonts w:eastAsia="Calibri" w:cstheme="minorHAnsi"/>
                <w:sz w:val="20"/>
                <w:szCs w:val="20"/>
                <w:lang w:val="en-GB"/>
              </w:rPr>
            </w:pPr>
            <w:r>
              <w:rPr>
                <w:rFonts w:eastAsia="Calibri" w:cstheme="minorHAnsi"/>
                <w:b/>
                <w:sz w:val="20"/>
                <w:szCs w:val="20"/>
                <w:lang w:val="en-GB"/>
              </w:rPr>
              <w:t xml:space="preserve"> Deliverables and responsibilities</w:t>
            </w:r>
            <w:r>
              <w:rPr>
                <w:rFonts w:eastAsia="Calibri" w:cstheme="minorHAnsi"/>
                <w:sz w:val="20"/>
                <w:szCs w:val="20"/>
                <w:lang w:val="en-GB"/>
              </w:rPr>
              <w:t xml:space="preserve"> </w:t>
            </w:r>
          </w:p>
          <w:p w14:paraId="1C69A565">
            <w:pPr>
              <w:rPr>
                <w:rFonts w:eastAsia="Calibri" w:cstheme="minorHAnsi"/>
                <w:sz w:val="20"/>
                <w:szCs w:val="20"/>
                <w:lang w:val="en-GB"/>
              </w:rPr>
            </w:pPr>
          </w:p>
          <w:p w14:paraId="48CF68FE">
            <w:pPr>
              <w:rPr>
                <w:rFonts w:eastAsia="Calibri" w:cstheme="minorHAnsi"/>
                <w:sz w:val="20"/>
                <w:szCs w:val="20"/>
                <w:lang w:val="en-GB"/>
              </w:rPr>
            </w:pPr>
            <w:r>
              <w:rPr>
                <w:rFonts w:eastAsia="Calibri" w:cstheme="minorHAnsi"/>
                <w:sz w:val="20"/>
                <w:szCs w:val="20"/>
                <w:lang w:val="en-GB"/>
              </w:rPr>
              <w:t xml:space="preserve">The list below outlines key responsibilities and deliverables of this contract. The PPG Initiation Plan for this project provides further and more detailed guidance regarding the responsibilities of the prospective PPG team and must be consulted accordingly.  </w:t>
            </w:r>
          </w:p>
          <w:p w14:paraId="37A75C04">
            <w:pPr>
              <w:rPr>
                <w:rFonts w:eastAsia="Calibri" w:cstheme="minorHAnsi"/>
                <w:sz w:val="20"/>
                <w:szCs w:val="20"/>
                <w:lang w:val="en-GB"/>
              </w:rPr>
            </w:pPr>
            <w:r>
              <w:rPr>
                <w:rFonts w:eastAsia="Calibri" w:cstheme="minorHAnsi"/>
                <w:sz w:val="20"/>
                <w:szCs w:val="20"/>
                <w:lang w:val="en-GB"/>
              </w:rPr>
              <w:t xml:space="preserve">  </w:t>
            </w:r>
          </w:p>
          <w:p w14:paraId="71A6AF88">
            <w:pPr>
              <w:pStyle w:val="56"/>
              <w:numPr>
                <w:ilvl w:val="0"/>
                <w:numId w:val="23"/>
              </w:numPr>
              <w:ind w:left="432"/>
              <w:rPr>
                <w:rFonts w:eastAsia="Calibri" w:cstheme="minorHAnsi"/>
                <w:sz w:val="20"/>
                <w:szCs w:val="20"/>
                <w:u w:val="single"/>
                <w:lang w:val="en-GB"/>
              </w:rPr>
            </w:pPr>
            <w:r>
              <w:rPr>
                <w:rFonts w:eastAsia="Calibri" w:cstheme="minorHAnsi"/>
                <w:sz w:val="20"/>
                <w:szCs w:val="20"/>
                <w:u w:val="single"/>
                <w:lang w:val="en-GB"/>
              </w:rPr>
              <w:t xml:space="preserve">Management of the PPG team: </w:t>
            </w:r>
          </w:p>
          <w:p w14:paraId="48EAD352">
            <w:pPr>
              <w:pStyle w:val="56"/>
              <w:numPr>
                <w:ilvl w:val="0"/>
                <w:numId w:val="24"/>
              </w:numPr>
              <w:ind w:left="692" w:hanging="274"/>
              <w:rPr>
                <w:rFonts w:cstheme="minorHAnsi"/>
                <w:sz w:val="20"/>
                <w:szCs w:val="20"/>
                <w:lang w:eastAsia="ja-JP"/>
              </w:rPr>
            </w:pPr>
            <w:r>
              <w:rPr>
                <w:rFonts w:cstheme="minorHAnsi"/>
                <w:sz w:val="20"/>
                <w:szCs w:val="20"/>
                <w:lang w:eastAsia="ja-JP"/>
              </w:rPr>
              <w:t>Support the GEF PPG Team Leader with management of the PPG Team, ensuring coordination between individual national consultants;</w:t>
            </w:r>
          </w:p>
          <w:p w14:paraId="4AE950F7">
            <w:pPr>
              <w:pStyle w:val="56"/>
              <w:numPr>
                <w:ilvl w:val="0"/>
                <w:numId w:val="23"/>
              </w:numPr>
              <w:ind w:left="432"/>
              <w:rPr>
                <w:rFonts w:eastAsia="Calibri" w:cstheme="minorHAnsi"/>
                <w:sz w:val="20"/>
                <w:szCs w:val="20"/>
                <w:u w:val="single"/>
                <w:lang w:val="en-GB"/>
              </w:rPr>
            </w:pPr>
            <w:r>
              <w:rPr>
                <w:rFonts w:cstheme="minorHAnsi"/>
                <w:sz w:val="20"/>
                <w:szCs w:val="20"/>
                <w:u w:val="single"/>
                <w:lang w:val="en-GB" w:eastAsia="ja-JP"/>
              </w:rPr>
              <w:t xml:space="preserve">Preparatory Technical Studies and Reviews (Component A): </w:t>
            </w:r>
            <w:r>
              <w:rPr>
                <w:rFonts w:eastAsia="Calibri" w:cstheme="minorHAnsi"/>
                <w:sz w:val="20"/>
                <w:szCs w:val="20"/>
                <w:u w:val="single"/>
                <w:lang w:val="en-GB"/>
              </w:rPr>
              <w:t xml:space="preserve">Prepare inputs and support the required analyses/studies, as agreed with the GEF PPG Team Leader, including:  </w:t>
            </w:r>
          </w:p>
          <w:p w14:paraId="264CABF3">
            <w:pPr>
              <w:pStyle w:val="56"/>
              <w:numPr>
                <w:ilvl w:val="0"/>
                <w:numId w:val="25"/>
              </w:numPr>
              <w:ind w:left="692" w:hanging="274"/>
              <w:rPr>
                <w:rFonts w:eastAsia="Calibri" w:cstheme="minorHAnsi"/>
                <w:sz w:val="20"/>
                <w:szCs w:val="20"/>
                <w:lang w:val="en-GB"/>
              </w:rPr>
            </w:pPr>
            <w:r>
              <w:rPr>
                <w:rFonts w:cstheme="minorHAnsi"/>
                <w:sz w:val="20"/>
                <w:szCs w:val="20"/>
                <w:lang w:val="en-GB" w:eastAsia="ja-JP"/>
              </w:rPr>
              <w:t>Desk Review of technical interventions related to natural resources management and landscape restoration applied in the context of China, including tested and new, biodiversity-oriented landscape management, Nature-based Solutions;</w:t>
            </w:r>
          </w:p>
          <w:p w14:paraId="5F77344D">
            <w:pPr>
              <w:pStyle w:val="56"/>
              <w:numPr>
                <w:ilvl w:val="0"/>
                <w:numId w:val="25"/>
              </w:numPr>
              <w:ind w:left="692" w:hanging="274"/>
              <w:rPr>
                <w:rFonts w:eastAsia="Calibri" w:cstheme="minorHAnsi"/>
                <w:sz w:val="20"/>
                <w:szCs w:val="20"/>
                <w:lang w:val="en-GB"/>
              </w:rPr>
            </w:pPr>
            <w:r>
              <w:rPr>
                <w:rFonts w:eastAsia="Calibri" w:cstheme="minorHAnsi"/>
                <w:sz w:val="20"/>
                <w:szCs w:val="20"/>
                <w:lang w:val="en-GB"/>
              </w:rPr>
              <w:t xml:space="preserve">Support the identification of social and environmental risks linked to the project co-financing from a technical and operational perspective and assist complete the UNDP Social and Environmental Screening Procedure (SESP), and support the detailed assessment of all project risks including consultations with local stakeholders;  </w:t>
            </w:r>
          </w:p>
          <w:p w14:paraId="77F576DC">
            <w:pPr>
              <w:pStyle w:val="56"/>
              <w:numPr>
                <w:ilvl w:val="0"/>
                <w:numId w:val="25"/>
              </w:numPr>
              <w:ind w:left="692" w:hanging="274"/>
              <w:rPr>
                <w:rFonts w:eastAsia="Calibri" w:cstheme="minorHAnsi"/>
                <w:sz w:val="20"/>
                <w:szCs w:val="20"/>
                <w:lang w:val="en-GB"/>
              </w:rPr>
            </w:pPr>
            <w:r>
              <w:rPr>
                <w:rFonts w:eastAsia="Calibri" w:cstheme="minorHAnsi"/>
                <w:sz w:val="20"/>
                <w:szCs w:val="20"/>
                <w:lang w:val="en-GB"/>
              </w:rPr>
              <w:t xml:space="preserve">Prepare inputs for the baseline/situational analysis on China’s biodiversity-related natural resources managements and nature-based solution interventions. This will include (a) analyses of baseline policies, plans at national and provincial level, and (b) baseline initiatives at local level, including local government and community related to ecosystem restoration, opportunities and priorities for community involvement with a specific reference to ecological products and establishment of close-to-nature business initiatives, (c) institutional roles, capacity development needs and goals for existing and potential initiatives; </w:t>
            </w:r>
          </w:p>
          <w:p w14:paraId="47EDE9A1">
            <w:pPr>
              <w:pStyle w:val="56"/>
              <w:numPr>
                <w:ilvl w:val="0"/>
                <w:numId w:val="25"/>
              </w:numPr>
              <w:ind w:left="692" w:hanging="274"/>
              <w:rPr>
                <w:rFonts w:eastAsia="Calibri" w:cstheme="minorHAnsi"/>
                <w:sz w:val="20"/>
                <w:szCs w:val="20"/>
                <w:lang w:val="en-GB"/>
              </w:rPr>
            </w:pPr>
            <w:r>
              <w:rPr>
                <w:rFonts w:eastAsia="Calibri" w:cstheme="minorHAnsi"/>
                <w:sz w:val="20"/>
                <w:szCs w:val="20"/>
                <w:lang w:val="en-GB"/>
              </w:rPr>
              <w:t>Identify gaps and assess opportunities for improving the natural resources management and nature-based restoration in China through the restructuring, planning, standards, technical guidelines and methodologies and financial mechanisms governing the biodiversity conservation works in China;</w:t>
            </w:r>
          </w:p>
          <w:p w14:paraId="215FF085">
            <w:pPr>
              <w:pStyle w:val="56"/>
              <w:numPr>
                <w:ilvl w:val="0"/>
                <w:numId w:val="25"/>
              </w:numPr>
              <w:ind w:left="692" w:hanging="274"/>
              <w:rPr>
                <w:rFonts w:eastAsia="Calibri" w:cstheme="minorHAnsi"/>
                <w:sz w:val="20"/>
                <w:szCs w:val="20"/>
                <w:lang w:val="en-GB"/>
              </w:rPr>
            </w:pPr>
            <w:r>
              <w:rPr>
                <w:rFonts w:eastAsia="Calibri" w:cstheme="minorHAnsi"/>
                <w:sz w:val="20"/>
                <w:szCs w:val="20"/>
                <w:lang w:val="en-GB"/>
              </w:rPr>
              <w:t xml:space="preserve">Assess existing nature-based solution activities in terms of risk assessment, data management and monitoring systems and identify appropriate project interventions to improve the field implementation of nature-based interventions, including data management and evaluation;  </w:t>
            </w:r>
          </w:p>
          <w:p w14:paraId="55994873">
            <w:pPr>
              <w:pStyle w:val="56"/>
              <w:numPr>
                <w:ilvl w:val="0"/>
                <w:numId w:val="25"/>
              </w:numPr>
              <w:ind w:left="692" w:hanging="274"/>
              <w:rPr>
                <w:rFonts w:eastAsia="Calibri" w:cstheme="minorHAnsi"/>
                <w:sz w:val="20"/>
                <w:szCs w:val="20"/>
                <w:lang w:val="en-GB"/>
              </w:rPr>
            </w:pPr>
            <w:r>
              <w:rPr>
                <w:rFonts w:eastAsia="Calibri" w:cstheme="minorHAnsi"/>
                <w:sz w:val="20"/>
                <w:szCs w:val="20"/>
                <w:lang w:val="en-GB"/>
              </w:rPr>
              <w:t>Assess existing natural resources management legal and technical frameworks, inter-agency communication, multi-sectoral coordination, information sharing and risk assessment, and identify appropriate project interventions to improve the natural resources management, including development and evaluation of landscape plans, land-use guidance;</w:t>
            </w:r>
          </w:p>
          <w:p w14:paraId="30EB62EA">
            <w:pPr>
              <w:pStyle w:val="56"/>
              <w:numPr>
                <w:ilvl w:val="0"/>
                <w:numId w:val="25"/>
              </w:numPr>
              <w:ind w:left="692" w:hanging="274"/>
              <w:rPr>
                <w:rFonts w:eastAsia="Calibri" w:cstheme="minorHAnsi"/>
                <w:sz w:val="20"/>
                <w:szCs w:val="20"/>
                <w:lang w:val="en-GB"/>
              </w:rPr>
            </w:pPr>
            <w:r>
              <w:rPr>
                <w:rFonts w:eastAsia="Calibri" w:cstheme="minorHAnsi"/>
                <w:sz w:val="20"/>
                <w:szCs w:val="20"/>
                <w:lang w:val="en-GB"/>
              </w:rPr>
              <w:t xml:space="preserve">Identify key training and capacity needs for biodiversity-related natural resources management and nature-based solutions interventions among relevant national and local natural resource and spatial planning bureaus and institutions, with environmental NGOs and the key training needs for the stakeholders in intervention landscapes (in collaboration with National Stakeholder Engagement and Capacity Development Specialist, Gender and Safeguards Specialist for project site);  </w:t>
            </w:r>
          </w:p>
          <w:p w14:paraId="50CE95E3">
            <w:pPr>
              <w:pStyle w:val="56"/>
              <w:numPr>
                <w:ilvl w:val="0"/>
                <w:numId w:val="25"/>
              </w:numPr>
              <w:ind w:left="692" w:hanging="274"/>
              <w:rPr>
                <w:rFonts w:eastAsia="Calibri" w:cstheme="minorHAnsi"/>
                <w:sz w:val="20"/>
                <w:szCs w:val="20"/>
                <w:lang w:val="en-GB"/>
              </w:rPr>
            </w:pPr>
            <w:r>
              <w:rPr>
                <w:rFonts w:eastAsia="Calibri" w:cstheme="minorHAnsi"/>
                <w:sz w:val="20"/>
                <w:szCs w:val="20"/>
                <w:lang w:val="en-GB"/>
              </w:rPr>
              <w:t>Adapt the UNDP Capacity Assessment Scorecard to suit natural resources management and nature-based solutions and conduct baseline assessments of the capacity of the natural resources  agencies using the adapted scorecard,  work closely with the GEF PPG Team Leader to ensure its findings are meaningfully integrated into the project’s strategy, theory of change, results framework and to ensure that all proposed natural resources management and NbS project activities are eligible for funding based on the requirements and approach of the GEF-8 Strategy;</w:t>
            </w:r>
          </w:p>
          <w:p w14:paraId="517ECF45">
            <w:pPr>
              <w:pStyle w:val="56"/>
              <w:numPr>
                <w:ilvl w:val="0"/>
                <w:numId w:val="25"/>
              </w:numPr>
              <w:ind w:left="692" w:hanging="274"/>
              <w:rPr>
                <w:rFonts w:eastAsia="Calibri" w:cstheme="minorHAnsi"/>
                <w:sz w:val="20"/>
                <w:szCs w:val="20"/>
                <w:lang w:val="en-GB"/>
              </w:rPr>
            </w:pPr>
            <w:r>
              <w:rPr>
                <w:rFonts w:eastAsia="Calibri" w:cstheme="minorHAnsi"/>
                <w:sz w:val="20"/>
                <w:szCs w:val="20"/>
                <w:lang w:val="en-GB"/>
              </w:rPr>
              <w:t xml:space="preserve">Coordinate the identification of priority geographical locations for establishing OECMs candidates, landscape/seascape for the NbS implementations including building ecological corridors and restoring habitats for biodiversity hotspots, and define these landscapes and their selection criteria for project intervention (i.e. GEF-8 restoration criteria / GEBs, building on previous or ongoing landscape restoration management initiatives in China, particularly those supported by GEF);  </w:t>
            </w:r>
          </w:p>
          <w:p w14:paraId="07627C4E">
            <w:pPr>
              <w:pStyle w:val="56"/>
              <w:numPr>
                <w:ilvl w:val="0"/>
                <w:numId w:val="25"/>
              </w:numPr>
              <w:ind w:left="692" w:hanging="274"/>
              <w:rPr>
                <w:rFonts w:eastAsia="Calibri" w:cstheme="minorHAnsi"/>
                <w:sz w:val="20"/>
                <w:szCs w:val="20"/>
                <w:lang w:val="en-GB"/>
              </w:rPr>
            </w:pPr>
            <w:r>
              <w:rPr>
                <w:rFonts w:eastAsia="Calibri" w:cstheme="minorHAnsi"/>
                <w:sz w:val="20"/>
                <w:szCs w:val="20"/>
                <w:lang w:val="en-GB"/>
              </w:rPr>
              <w:t xml:space="preserve">Identify and describe specific interventions of natural resources management and NbS applicable to the target areas, including field methods, techniques, and produce a NbS Technical and Operational Manual as an Annex, inclusive of indicators, means of verification and potential targets for project components, so this can be used as guide and blueprint for agencies and stakeholders during project implementation; </w:t>
            </w:r>
          </w:p>
          <w:p w14:paraId="2EC247BA">
            <w:pPr>
              <w:pStyle w:val="56"/>
              <w:numPr>
                <w:ilvl w:val="0"/>
                <w:numId w:val="25"/>
              </w:numPr>
              <w:ind w:left="692" w:hanging="274"/>
              <w:rPr>
                <w:rFonts w:eastAsia="Calibri" w:cstheme="minorHAnsi"/>
                <w:sz w:val="20"/>
                <w:szCs w:val="20"/>
              </w:rPr>
            </w:pPr>
            <w:r>
              <w:rPr>
                <w:rFonts w:eastAsia="Calibri" w:cstheme="minorHAnsi"/>
                <w:sz w:val="20"/>
                <w:szCs w:val="20"/>
              </w:rPr>
              <w:t xml:space="preserve">Support the completion of any other additional studies and material that are determined to be needed for the preparation of the ProDoc and all other final outputs as guided by the PPG Team Leader and/or upon request of RTA/RTS.   </w:t>
            </w:r>
          </w:p>
          <w:p w14:paraId="7F7AFDF1">
            <w:pPr>
              <w:rPr>
                <w:rFonts w:eastAsia="Calibri" w:cstheme="minorHAnsi"/>
                <w:sz w:val="20"/>
                <w:szCs w:val="20"/>
                <w:lang w:val="en-GB"/>
              </w:rPr>
            </w:pPr>
            <w:r>
              <w:rPr>
                <w:rFonts w:eastAsia="Calibri" w:cstheme="minorHAnsi"/>
                <w:sz w:val="20"/>
                <w:szCs w:val="20"/>
                <w:lang w:val="en-GB"/>
              </w:rPr>
              <w:t xml:space="preserve">  </w:t>
            </w:r>
          </w:p>
          <w:p w14:paraId="7332A94C">
            <w:pPr>
              <w:pStyle w:val="56"/>
              <w:numPr>
                <w:ilvl w:val="0"/>
                <w:numId w:val="23"/>
              </w:numPr>
              <w:ind w:left="432"/>
              <w:rPr>
                <w:rFonts w:cstheme="minorHAnsi"/>
                <w:sz w:val="20"/>
                <w:szCs w:val="20"/>
                <w:u w:val="single"/>
                <w:lang w:val="en-GB" w:eastAsia="ja-JP"/>
              </w:rPr>
            </w:pPr>
            <w:r>
              <w:rPr>
                <w:rFonts w:cstheme="minorHAnsi"/>
                <w:sz w:val="20"/>
                <w:szCs w:val="20"/>
                <w:u w:val="single"/>
                <w:lang w:val="en-GB" w:eastAsia="ja-JP"/>
              </w:rPr>
              <w:t xml:space="preserve">Formulation of the ProDoc, CEO Endorsement Request and Mandatory Annexes as well as project specific annexes (Component B):   </w:t>
            </w:r>
          </w:p>
          <w:p w14:paraId="6C388B10">
            <w:pPr>
              <w:pStyle w:val="56"/>
              <w:numPr>
                <w:ilvl w:val="0"/>
                <w:numId w:val="26"/>
              </w:numPr>
              <w:ind w:left="692" w:hanging="274"/>
              <w:rPr>
                <w:rFonts w:eastAsia="Calibri" w:cstheme="minorHAnsi"/>
                <w:sz w:val="20"/>
                <w:szCs w:val="20"/>
                <w:lang w:val="en-GB"/>
              </w:rPr>
            </w:pPr>
            <w:r>
              <w:rPr>
                <w:rFonts w:eastAsia="Calibri" w:cstheme="minorHAnsi"/>
                <w:sz w:val="20"/>
                <w:szCs w:val="20"/>
                <w:lang w:val="en-GB"/>
              </w:rPr>
              <w:t xml:space="preserve">Support the development of the SESP, based on assessments undertaken during Component A and detailed development of project interventions, and identify management measures to mitigate risks to be incorporated into the ProDoc;  </w:t>
            </w:r>
          </w:p>
          <w:p w14:paraId="6B2D7C15">
            <w:pPr>
              <w:pStyle w:val="56"/>
              <w:numPr>
                <w:ilvl w:val="0"/>
                <w:numId w:val="26"/>
              </w:numPr>
              <w:ind w:left="692" w:hanging="274"/>
              <w:rPr>
                <w:rFonts w:eastAsia="Calibri" w:cstheme="minorHAnsi"/>
                <w:sz w:val="20"/>
                <w:szCs w:val="20"/>
                <w:lang w:val="en-GB"/>
              </w:rPr>
            </w:pPr>
            <w:r>
              <w:rPr>
                <w:rFonts w:eastAsia="Calibri" w:cstheme="minorHAnsi"/>
                <w:sz w:val="20"/>
                <w:szCs w:val="20"/>
                <w:lang w:val="en-GB"/>
              </w:rPr>
              <w:t xml:space="preserve">Support the development ESMF, with appropriate budget and identification of appropriate project interventions to ensure biodiversity-oriented natural resources management and nature-based solutions including at the project sites;  </w:t>
            </w:r>
          </w:p>
          <w:p w14:paraId="357BCC7A">
            <w:pPr>
              <w:pStyle w:val="56"/>
              <w:numPr>
                <w:ilvl w:val="0"/>
                <w:numId w:val="26"/>
              </w:numPr>
              <w:ind w:left="692" w:hanging="274"/>
              <w:rPr>
                <w:rFonts w:eastAsia="Calibri" w:cstheme="minorHAnsi"/>
                <w:sz w:val="20"/>
                <w:szCs w:val="20"/>
                <w:lang w:val="en-GB"/>
              </w:rPr>
            </w:pPr>
            <w:r>
              <w:rPr>
                <w:rFonts w:eastAsia="Calibri" w:cstheme="minorHAnsi"/>
                <w:sz w:val="20"/>
                <w:szCs w:val="20"/>
                <w:lang w:val="en-GB"/>
              </w:rPr>
              <w:t xml:space="preserve">Using the findings from the analysis based on Component A, provide inputs to the project’s results framework, including indicators, means of verification and targets for implementation, and theory of change;   </w:t>
            </w:r>
          </w:p>
          <w:p w14:paraId="153FAA12">
            <w:pPr>
              <w:pStyle w:val="56"/>
              <w:numPr>
                <w:ilvl w:val="0"/>
                <w:numId w:val="26"/>
              </w:numPr>
              <w:ind w:left="692" w:hanging="274"/>
              <w:rPr>
                <w:rFonts w:eastAsia="Calibri" w:cstheme="minorHAnsi"/>
                <w:sz w:val="20"/>
                <w:szCs w:val="20"/>
                <w:lang w:val="en-GB"/>
              </w:rPr>
            </w:pPr>
            <w:r>
              <w:rPr>
                <w:rFonts w:eastAsia="Calibri" w:cstheme="minorHAnsi"/>
                <w:sz w:val="20"/>
                <w:szCs w:val="20"/>
                <w:lang w:val="en-GB"/>
              </w:rPr>
              <w:t xml:space="preserve">Provide inputs for the development of the Stakeholder Engagement Plan on biodiversity-oriented natural resources management and nature-based solutions;  </w:t>
            </w:r>
          </w:p>
          <w:p w14:paraId="144B040A">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 xml:space="preserve">Appropriate inputs to the final UNDP-GEF project document and GEF CEO ER based on guidance from the PPG Team Leader. </w:t>
            </w:r>
          </w:p>
          <w:p w14:paraId="2000D2B1">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Support the resolving of comments and address all feedback as necessary until final GEF CEO Endorsement</w:t>
            </w:r>
          </w:p>
          <w:p w14:paraId="59F1F894">
            <w:pPr>
              <w:pStyle w:val="56"/>
              <w:ind w:left="692"/>
              <w:rPr>
                <w:rFonts w:eastAsia="Calibri" w:cstheme="minorHAnsi"/>
                <w:sz w:val="20"/>
                <w:szCs w:val="20"/>
                <w:lang w:val="en-GB"/>
              </w:rPr>
            </w:pPr>
          </w:p>
          <w:p w14:paraId="250A8D7C">
            <w:pPr>
              <w:rPr>
                <w:rFonts w:eastAsia="Calibri" w:cstheme="minorHAnsi"/>
                <w:sz w:val="20"/>
                <w:szCs w:val="20"/>
                <w:lang w:val="en-GB"/>
              </w:rPr>
            </w:pPr>
            <w:r>
              <w:rPr>
                <w:rFonts w:eastAsia="Calibri" w:cstheme="minorHAnsi"/>
                <w:sz w:val="20"/>
                <w:szCs w:val="20"/>
                <w:lang w:val="en-GB"/>
              </w:rPr>
              <w:t xml:space="preserve">  </w:t>
            </w:r>
          </w:p>
          <w:p w14:paraId="6745A88B">
            <w:pPr>
              <w:pStyle w:val="56"/>
              <w:numPr>
                <w:ilvl w:val="0"/>
                <w:numId w:val="23"/>
              </w:numPr>
              <w:ind w:left="432"/>
              <w:rPr>
                <w:rFonts w:eastAsia="Calibri" w:cstheme="minorHAnsi"/>
                <w:sz w:val="20"/>
                <w:szCs w:val="20"/>
                <w:lang w:val="en-GB"/>
              </w:rPr>
            </w:pPr>
            <w:r>
              <w:rPr>
                <w:rFonts w:cstheme="minorHAnsi"/>
                <w:sz w:val="20"/>
                <w:szCs w:val="20"/>
                <w:u w:val="single"/>
                <w:lang w:val="en-GB" w:eastAsia="ja-JP"/>
              </w:rPr>
              <w:t xml:space="preserve">Validation Workshop (Component C):  </w:t>
            </w:r>
            <w:r>
              <w:rPr>
                <w:rFonts w:eastAsia="Calibri" w:cstheme="minorHAnsi"/>
                <w:sz w:val="20"/>
                <w:szCs w:val="20"/>
                <w:lang w:val="en-GB"/>
              </w:rPr>
              <w:t xml:space="preserve"> </w:t>
            </w:r>
          </w:p>
          <w:p w14:paraId="2CE7D827">
            <w:pPr>
              <w:pStyle w:val="56"/>
              <w:numPr>
                <w:ilvl w:val="0"/>
                <w:numId w:val="27"/>
              </w:numPr>
              <w:ind w:left="692" w:hanging="274"/>
              <w:rPr>
                <w:rFonts w:eastAsia="Calibri" w:cstheme="minorHAnsi"/>
                <w:sz w:val="20"/>
                <w:szCs w:val="20"/>
                <w:lang w:val="en-GB"/>
              </w:rPr>
            </w:pPr>
            <w:r>
              <w:rPr>
                <w:rFonts w:eastAsia="Calibri" w:cstheme="minorHAnsi"/>
                <w:sz w:val="20"/>
                <w:szCs w:val="20"/>
                <w:lang w:val="en-GB"/>
              </w:rPr>
              <w:t xml:space="preserve">Contribute to both the inception and the validation workshop;  </w:t>
            </w:r>
          </w:p>
          <w:p w14:paraId="74F4BF2D">
            <w:pPr>
              <w:pStyle w:val="56"/>
              <w:numPr>
                <w:ilvl w:val="0"/>
                <w:numId w:val="27"/>
              </w:numPr>
              <w:ind w:left="692" w:hanging="274"/>
              <w:rPr>
                <w:rFonts w:eastAsia="Calibri" w:cstheme="minorHAnsi"/>
                <w:sz w:val="20"/>
                <w:szCs w:val="20"/>
                <w:lang w:val="en-GB"/>
              </w:rPr>
            </w:pPr>
            <w:r>
              <w:rPr>
                <w:rFonts w:eastAsia="Calibri" w:cstheme="minorHAnsi"/>
                <w:sz w:val="20"/>
                <w:szCs w:val="20"/>
                <w:lang w:val="en-GB"/>
              </w:rPr>
              <w:t>Support all necessary revisions that arise during the workshop, as appropriate;</w:t>
            </w:r>
          </w:p>
          <w:p w14:paraId="1BD0E977">
            <w:pPr>
              <w:pStyle w:val="56"/>
              <w:numPr>
                <w:ilvl w:val="0"/>
                <w:numId w:val="27"/>
              </w:numPr>
              <w:ind w:left="692" w:hanging="274"/>
              <w:rPr>
                <w:rFonts w:eastAsia="Calibri" w:cstheme="minorHAnsi"/>
                <w:sz w:val="20"/>
                <w:szCs w:val="20"/>
                <w:lang w:val="en-GB"/>
              </w:rPr>
            </w:pPr>
            <w:r>
              <w:rPr>
                <w:rFonts w:eastAsia="Calibri" w:cstheme="minorHAnsi"/>
                <w:sz w:val="20"/>
                <w:szCs w:val="20"/>
                <w:lang w:val="en-GB"/>
              </w:rPr>
              <w:t>Contribute to the completion of both the Inception and the Validation Workshop Reports.</w:t>
            </w:r>
          </w:p>
          <w:p w14:paraId="11AD43BA">
            <w:pPr>
              <w:rPr>
                <w:rFonts w:eastAsia="Calibri" w:cstheme="minorHAnsi"/>
                <w:sz w:val="20"/>
                <w:szCs w:val="20"/>
                <w:lang w:val="en-GB"/>
              </w:rPr>
            </w:pPr>
            <w:r>
              <w:rPr>
                <w:rFonts w:eastAsia="Calibri" w:cstheme="minorHAnsi"/>
                <w:sz w:val="20"/>
                <w:szCs w:val="20"/>
                <w:lang w:val="en-GB"/>
              </w:rPr>
              <w:t xml:space="preserve">  </w:t>
            </w:r>
          </w:p>
          <w:p w14:paraId="7A1A94CC">
            <w:pPr>
              <w:rPr>
                <w:rFonts w:eastAsia="Calibri" w:cstheme="minorHAnsi"/>
                <w:sz w:val="20"/>
                <w:szCs w:val="20"/>
                <w:lang w:val="en-GB"/>
              </w:rPr>
            </w:pPr>
            <w:r>
              <w:rPr>
                <w:rFonts w:eastAsia="Calibri" w:cstheme="minorHAnsi"/>
                <w:sz w:val="20"/>
                <w:szCs w:val="20"/>
                <w:lang w:val="en-GB"/>
              </w:rPr>
              <w:t xml:space="preserve">  </w:t>
            </w:r>
          </w:p>
          <w:p w14:paraId="038BBE0F">
            <w:pPr>
              <w:pStyle w:val="56"/>
              <w:numPr>
                <w:ilvl w:val="0"/>
                <w:numId w:val="23"/>
              </w:numPr>
              <w:ind w:left="432"/>
              <w:rPr>
                <w:rFonts w:cstheme="minorHAnsi"/>
                <w:sz w:val="20"/>
                <w:szCs w:val="20"/>
                <w:u w:val="single"/>
                <w:lang w:val="en-GB" w:eastAsia="ja-JP"/>
              </w:rPr>
            </w:pPr>
            <w:r>
              <w:rPr>
                <w:rFonts w:cstheme="minorHAnsi"/>
                <w:sz w:val="20"/>
                <w:szCs w:val="20"/>
                <w:u w:val="single"/>
                <w:lang w:val="en-GB" w:eastAsia="ja-JP"/>
              </w:rPr>
              <w:t xml:space="preserve">Final Deliverables:  </w:t>
            </w:r>
          </w:p>
          <w:p w14:paraId="5501CCAF">
            <w:pPr>
              <w:pStyle w:val="56"/>
              <w:numPr>
                <w:ilvl w:val="0"/>
                <w:numId w:val="28"/>
              </w:numPr>
              <w:ind w:left="692" w:hanging="274"/>
              <w:rPr>
                <w:rFonts w:eastAsia="Calibri" w:cstheme="minorHAnsi"/>
                <w:sz w:val="20"/>
                <w:szCs w:val="20"/>
                <w:lang w:val="en-GB"/>
              </w:rPr>
            </w:pPr>
            <w:r>
              <w:rPr>
                <w:rFonts w:eastAsia="Calibri" w:cstheme="minorHAnsi"/>
                <w:sz w:val="20"/>
                <w:szCs w:val="20"/>
                <w:lang w:val="en-GB"/>
              </w:rPr>
              <w:t xml:space="preserve">Finalized biodiversity-oriented natural resources management and nature-based solutions component in ESMF; </w:t>
            </w:r>
          </w:p>
          <w:p w14:paraId="5C229463">
            <w:pPr>
              <w:pStyle w:val="56"/>
              <w:numPr>
                <w:ilvl w:val="0"/>
                <w:numId w:val="28"/>
              </w:numPr>
              <w:ind w:left="692" w:hanging="274"/>
              <w:rPr>
                <w:rFonts w:eastAsia="Calibri" w:cstheme="minorHAnsi"/>
                <w:sz w:val="20"/>
                <w:szCs w:val="20"/>
                <w:lang w:val="en-GB"/>
              </w:rPr>
            </w:pPr>
            <w:r>
              <w:rPr>
                <w:rFonts w:eastAsia="Calibri" w:cstheme="minorHAnsi"/>
                <w:sz w:val="20"/>
                <w:szCs w:val="20"/>
                <w:lang w:val="en-GB"/>
              </w:rPr>
              <w:t xml:space="preserve">A report on the detailed analysis of natural resources management and nature-based solutions interventions baseline (technical, multi-sector cooperation and information-sharing, institutional capacity) and recommended project interventions to improve development of natural resources management and nature-based solutions as part of landscape restoration resilience and management through improved legislation, policy, multi-sector cooperation, capacity and stakeholder engagement; </w:t>
            </w:r>
          </w:p>
          <w:p w14:paraId="6A34BA27">
            <w:pPr>
              <w:pStyle w:val="56"/>
              <w:numPr>
                <w:ilvl w:val="0"/>
                <w:numId w:val="28"/>
              </w:numPr>
              <w:ind w:left="692" w:hanging="274"/>
              <w:rPr>
                <w:rFonts w:eastAsia="Calibri" w:cstheme="minorHAnsi"/>
                <w:sz w:val="20"/>
                <w:szCs w:val="20"/>
                <w:lang w:val="en-GB"/>
              </w:rPr>
            </w:pPr>
            <w:r>
              <w:rPr>
                <w:rFonts w:eastAsia="Calibri" w:cstheme="minorHAnsi"/>
                <w:sz w:val="20"/>
                <w:szCs w:val="20"/>
                <w:lang w:val="en-GB"/>
              </w:rPr>
              <w:t>Provide relevant quality text sections for the ProDoc package on the aspects mentioned above;</w:t>
            </w:r>
          </w:p>
          <w:p w14:paraId="326A563C">
            <w:pPr>
              <w:pStyle w:val="56"/>
              <w:numPr>
                <w:ilvl w:val="0"/>
                <w:numId w:val="28"/>
              </w:numPr>
              <w:ind w:left="692" w:hanging="274"/>
              <w:rPr>
                <w:rFonts w:eastAsia="Malgun Gothic" w:cstheme="minorHAnsi"/>
                <w:sz w:val="20"/>
                <w:szCs w:val="20"/>
                <w:lang w:val="en-AU"/>
              </w:rPr>
            </w:pPr>
            <w:r>
              <w:rPr>
                <w:rFonts w:eastAsia="Malgun Gothic" w:cstheme="minorHAnsi"/>
                <w:sz w:val="20"/>
                <w:szCs w:val="20"/>
                <w:lang w:val="en-GB"/>
              </w:rPr>
              <w:t xml:space="preserve">Upon request from the UNDP </w:t>
            </w:r>
            <w:r>
              <w:rPr>
                <w:rFonts w:eastAsia="Malgun Gothic" w:cstheme="minorHAnsi"/>
                <w:sz w:val="20"/>
                <w:szCs w:val="20"/>
                <w:lang w:val="en-AU"/>
              </w:rPr>
              <w:t>Regional Technical Adviser/Regional Technical Specialist during the PPG implementation, the PPG team may be required to prepare additional annexes.</w:t>
            </w:r>
          </w:p>
          <w:p w14:paraId="26D8F71A">
            <w:pPr>
              <w:rPr>
                <w:rFonts w:eastAsia="Calibri" w:cstheme="minorHAnsi"/>
                <w:sz w:val="20"/>
                <w:szCs w:val="20"/>
                <w:lang w:val="en-GB"/>
              </w:rPr>
            </w:pPr>
            <w:r>
              <w:rPr>
                <w:rFonts w:eastAsia="Calibri" w:cstheme="minorHAnsi"/>
                <w:sz w:val="20"/>
                <w:szCs w:val="20"/>
                <w:lang w:val="en-GB"/>
              </w:rPr>
              <w:t xml:space="preserve">  </w:t>
            </w:r>
          </w:p>
          <w:p w14:paraId="692EEC34">
            <w:pPr>
              <w:rPr>
                <w:rFonts w:eastAsia="Calibri" w:cstheme="minorHAnsi"/>
                <w:sz w:val="20"/>
                <w:szCs w:val="20"/>
                <w:lang w:val="en-GB"/>
              </w:rPr>
            </w:pPr>
            <w:r>
              <w:rPr>
                <w:rFonts w:eastAsia="Calibri" w:cstheme="minorHAnsi"/>
                <w:sz w:val="20"/>
                <w:szCs w:val="20"/>
                <w:lang w:val="en-GB"/>
              </w:rPr>
              <w:t xml:space="preserve"> </w:t>
            </w:r>
            <w:r>
              <w:rPr>
                <w:rFonts w:eastAsia="Calibri" w:cstheme="minorHAnsi"/>
                <w:b/>
                <w:sz w:val="20"/>
                <w:szCs w:val="20"/>
                <w:lang w:val="en-GB"/>
              </w:rPr>
              <w:t xml:space="preserve">Qualifications </w:t>
            </w:r>
            <w:r>
              <w:rPr>
                <w:rFonts w:eastAsia="Calibri" w:cstheme="minorHAnsi"/>
                <w:sz w:val="20"/>
                <w:szCs w:val="20"/>
                <w:lang w:val="en-GB"/>
              </w:rPr>
              <w:t xml:space="preserve"> </w:t>
            </w:r>
          </w:p>
          <w:p w14:paraId="7F662CD6">
            <w:pPr>
              <w:numPr>
                <w:ilvl w:val="0"/>
                <w:numId w:val="29"/>
              </w:numPr>
              <w:rPr>
                <w:rFonts w:eastAsia="Calibri" w:cstheme="minorHAnsi"/>
                <w:sz w:val="20"/>
                <w:szCs w:val="20"/>
                <w:lang w:val="en-GB"/>
              </w:rPr>
            </w:pPr>
            <w:r>
              <w:rPr>
                <w:rFonts w:eastAsia="Calibri" w:cstheme="minorHAnsi"/>
                <w:sz w:val="20"/>
                <w:szCs w:val="20"/>
                <w:lang w:val="en-GB"/>
              </w:rPr>
              <w:t xml:space="preserve">Master’s degree or higher in a relevant field, such as natural resource management, landscape ecology, conservation biology, ecology, forestry or environmental sciences.  </w:t>
            </w:r>
          </w:p>
          <w:p w14:paraId="1138E7CA">
            <w:pPr>
              <w:numPr>
                <w:ilvl w:val="0"/>
                <w:numId w:val="30"/>
              </w:numPr>
              <w:rPr>
                <w:rFonts w:eastAsia="Calibri" w:cstheme="minorHAnsi"/>
                <w:sz w:val="20"/>
                <w:szCs w:val="20"/>
                <w:lang w:val="en-GB"/>
              </w:rPr>
            </w:pPr>
            <w:r>
              <w:rPr>
                <w:rFonts w:eastAsia="Calibri" w:cstheme="minorHAnsi"/>
                <w:sz w:val="20"/>
                <w:szCs w:val="20"/>
                <w:lang w:val="en-GB"/>
              </w:rPr>
              <w:t xml:space="preserve">Minimum 10 years of relevant professional experience in technical area of natural resources management and conservation, sustainable land management, and the application of Nature-based solutions for natural and productive landscapes. Ideally, the specialist will have knowledge and experience across the range of NbS assessment and management strategies, especially in field application;   </w:t>
            </w:r>
          </w:p>
          <w:p w14:paraId="2EC5C2A7">
            <w:pPr>
              <w:numPr>
                <w:ilvl w:val="0"/>
                <w:numId w:val="30"/>
              </w:numPr>
              <w:rPr>
                <w:rFonts w:eastAsia="Calibri" w:cstheme="minorHAnsi"/>
                <w:sz w:val="20"/>
                <w:szCs w:val="20"/>
                <w:lang w:val="en-GB"/>
              </w:rPr>
            </w:pPr>
            <w:r>
              <w:rPr>
                <w:rFonts w:eastAsia="Calibri" w:cstheme="minorHAnsi"/>
                <w:sz w:val="20"/>
                <w:szCs w:val="20"/>
                <w:lang w:val="en-GB"/>
              </w:rPr>
              <w:t>Demonstrated understanding of political, legal and institutional context and priorities for natural resources management in China;</w:t>
            </w:r>
          </w:p>
          <w:p w14:paraId="1154364B">
            <w:pPr>
              <w:numPr>
                <w:ilvl w:val="0"/>
                <w:numId w:val="31"/>
              </w:numPr>
              <w:rPr>
                <w:rFonts w:eastAsia="Calibri" w:cstheme="minorHAnsi"/>
                <w:sz w:val="20"/>
                <w:szCs w:val="20"/>
                <w:lang w:val="en-GB"/>
              </w:rPr>
            </w:pPr>
            <w:r>
              <w:rPr>
                <w:rFonts w:eastAsia="Calibri" w:cstheme="minorHAnsi"/>
                <w:sz w:val="20"/>
                <w:szCs w:val="20"/>
                <w:lang w:val="en-GB"/>
              </w:rPr>
              <w:t xml:space="preserve">Experience carrying out participatory NbS assessment; experience collecting and formulating NbS responsive indicators, and preparing NbS management plans as part of critical landscape initiatives or spatial planning;   </w:t>
            </w:r>
          </w:p>
          <w:p w14:paraId="302EB5A7">
            <w:pPr>
              <w:numPr>
                <w:ilvl w:val="0"/>
                <w:numId w:val="32"/>
              </w:numPr>
              <w:rPr>
                <w:rFonts w:eastAsia="Calibri" w:cstheme="minorHAnsi"/>
                <w:sz w:val="20"/>
                <w:szCs w:val="20"/>
                <w:lang w:val="en-GB"/>
              </w:rPr>
            </w:pPr>
            <w:r>
              <w:rPr>
                <w:rFonts w:eastAsia="Calibri" w:cstheme="minorHAnsi"/>
                <w:sz w:val="20"/>
                <w:szCs w:val="20"/>
                <w:lang w:val="en-GB"/>
              </w:rPr>
              <w:t xml:space="preserve">Prior experience in the safeguards assessments and processes of international organizations and donors, such as World Bank, UNDP, etc;  </w:t>
            </w:r>
          </w:p>
          <w:p w14:paraId="09423D6A">
            <w:pPr>
              <w:numPr>
                <w:ilvl w:val="0"/>
                <w:numId w:val="33"/>
              </w:numPr>
              <w:rPr>
                <w:rFonts w:eastAsia="Calibri" w:cstheme="minorHAnsi"/>
                <w:sz w:val="20"/>
                <w:szCs w:val="20"/>
                <w:lang w:val="en-GB"/>
              </w:rPr>
            </w:pPr>
            <w:r>
              <w:rPr>
                <w:rFonts w:eastAsia="Calibri" w:cstheme="minorHAnsi"/>
                <w:sz w:val="20"/>
                <w:szCs w:val="20"/>
                <w:lang w:val="en-GB"/>
              </w:rPr>
              <w:t xml:space="preserve">Demonstrated experience working on policy and programmatic issues with national and local governments and civil society organizations including community organizations;  </w:t>
            </w:r>
          </w:p>
          <w:p w14:paraId="69448F94">
            <w:pPr>
              <w:numPr>
                <w:ilvl w:val="0"/>
                <w:numId w:val="34"/>
              </w:numPr>
              <w:rPr>
                <w:rFonts w:eastAsia="Calibri" w:cstheme="minorHAnsi"/>
                <w:sz w:val="20"/>
                <w:szCs w:val="20"/>
                <w:lang w:val="en-GB"/>
              </w:rPr>
            </w:pPr>
            <w:r>
              <w:rPr>
                <w:rFonts w:eastAsia="Calibri" w:cstheme="minorHAnsi"/>
                <w:sz w:val="20"/>
                <w:szCs w:val="20"/>
                <w:lang w:val="en-GB"/>
              </w:rPr>
              <w:t xml:space="preserve">Demonstrated Experience working with government institutions, as well as civil society/private organizations and consultants/field biologists;  </w:t>
            </w:r>
          </w:p>
          <w:p w14:paraId="7003BFB7">
            <w:pPr>
              <w:numPr>
                <w:ilvl w:val="0"/>
                <w:numId w:val="35"/>
              </w:numPr>
              <w:rPr>
                <w:rFonts w:eastAsia="Calibri" w:cstheme="minorHAnsi"/>
                <w:sz w:val="20"/>
                <w:szCs w:val="20"/>
                <w:lang w:val="en-GB"/>
              </w:rPr>
            </w:pPr>
            <w:r>
              <w:rPr>
                <w:rFonts w:eastAsia="Calibri" w:cstheme="minorHAnsi"/>
                <w:sz w:val="20"/>
                <w:szCs w:val="20"/>
                <w:lang w:val="en-GB"/>
              </w:rPr>
              <w:t xml:space="preserve">Experience with GIS mapping, project development and results-based management methodologies is highly desired;  </w:t>
            </w:r>
          </w:p>
          <w:p w14:paraId="4048DDFA">
            <w:pPr>
              <w:numPr>
                <w:ilvl w:val="0"/>
                <w:numId w:val="36"/>
              </w:numPr>
              <w:rPr>
                <w:rFonts w:eastAsia="Calibri" w:cstheme="minorHAnsi"/>
                <w:sz w:val="20"/>
                <w:szCs w:val="20"/>
                <w:lang w:val="en-GB"/>
              </w:rPr>
            </w:pPr>
            <w:r>
              <w:rPr>
                <w:rFonts w:eastAsia="Calibri" w:cstheme="minorHAnsi"/>
                <w:sz w:val="20"/>
                <w:szCs w:val="20"/>
                <w:lang w:val="en-GB"/>
              </w:rPr>
              <w:t xml:space="preserve">Excellent analytical, writing, advocacy, presentation, and communications skills are required; Experience working with relevant stakeholders in China or the Pacific is essential; </w:t>
            </w:r>
          </w:p>
          <w:p w14:paraId="6440D201">
            <w:pPr>
              <w:numPr>
                <w:ilvl w:val="0"/>
                <w:numId w:val="36"/>
              </w:numPr>
              <w:rPr>
                <w:rFonts w:eastAsia="Calibri" w:cstheme="minorHAnsi"/>
                <w:sz w:val="20"/>
                <w:szCs w:val="20"/>
              </w:rPr>
            </w:pPr>
            <w:r>
              <w:rPr>
                <w:rFonts w:eastAsia="Calibri" w:cstheme="minorHAnsi"/>
                <w:sz w:val="20"/>
                <w:szCs w:val="20"/>
              </w:rPr>
              <w:t xml:space="preserve">Excellent written and oral communication skills in English.  </w:t>
            </w:r>
          </w:p>
        </w:tc>
      </w:tr>
      <w:tr w14:paraId="4443F743">
        <w:trPr>
          <w:trHeight w:val="300" w:hRule="atLeast"/>
        </w:trPr>
        <w:tc>
          <w:tcPr>
            <w:tcW w:w="1673" w:type="dxa"/>
          </w:tcPr>
          <w:p w14:paraId="0AFFD402">
            <w:pPr>
              <w:rPr>
                <w:rFonts w:cstheme="minorHAnsi"/>
                <w:b/>
                <w:sz w:val="20"/>
                <w:szCs w:val="20"/>
                <w:lang w:val="en-GB" w:eastAsia="ja-JP"/>
              </w:rPr>
            </w:pPr>
            <w:r>
              <w:rPr>
                <w:rFonts w:cstheme="minorHAnsi"/>
                <w:b/>
                <w:bCs/>
                <w:sz w:val="20"/>
                <w:szCs w:val="20"/>
                <w:u w:val="single"/>
                <w:lang w:val="en-GB" w:eastAsia="ja-JP"/>
              </w:rPr>
              <w:t xml:space="preserve">Consultant: </w:t>
            </w:r>
            <w:r>
              <w:rPr>
                <w:rFonts w:cstheme="minorHAnsi"/>
                <w:sz w:val="20"/>
                <w:szCs w:val="20"/>
                <w:lang w:val="en-GB" w:eastAsia="ja-JP"/>
              </w:rPr>
              <w:t>National Gender and Stakeholder Engagement Specialist</w:t>
            </w:r>
          </w:p>
          <w:p w14:paraId="17859773">
            <w:pPr>
              <w:rPr>
                <w:rFonts w:cstheme="minorHAnsi"/>
                <w:sz w:val="20"/>
                <w:szCs w:val="20"/>
                <w:lang w:val="en-GB" w:eastAsia="ja-JP"/>
              </w:rPr>
            </w:pPr>
            <w:r>
              <w:rPr>
                <w:rFonts w:cstheme="minorHAnsi"/>
                <w:b/>
                <w:bCs/>
                <w:sz w:val="20"/>
                <w:szCs w:val="20"/>
                <w:lang w:val="en-GB" w:eastAsia="ja-JP"/>
              </w:rPr>
              <w:t>Type:</w:t>
            </w:r>
            <w:r>
              <w:rPr>
                <w:rFonts w:cstheme="minorHAnsi"/>
                <w:sz w:val="20"/>
                <w:szCs w:val="20"/>
                <w:lang w:val="en-GB" w:eastAsia="ja-JP"/>
              </w:rPr>
              <w:t xml:space="preserve"> NC</w:t>
            </w:r>
          </w:p>
          <w:p w14:paraId="1717C6AD">
            <w:pPr>
              <w:rPr>
                <w:rFonts w:cstheme="minorHAnsi"/>
                <w:sz w:val="20"/>
                <w:szCs w:val="20"/>
                <w:highlight w:val="yellow"/>
                <w:lang w:val="en-GB" w:eastAsia="ja-JP"/>
              </w:rPr>
            </w:pPr>
          </w:p>
          <w:p w14:paraId="09D944C0">
            <w:pPr>
              <w:rPr>
                <w:rFonts w:cstheme="minorHAnsi"/>
                <w:sz w:val="20"/>
                <w:szCs w:val="20"/>
                <w:highlight w:val="yellow"/>
                <w:lang w:val="en-GB" w:eastAsia="ja-JP"/>
              </w:rPr>
            </w:pPr>
            <w:r>
              <w:rPr>
                <w:rFonts w:cstheme="minorHAnsi"/>
                <w:b/>
                <w:bCs/>
                <w:sz w:val="20"/>
                <w:szCs w:val="20"/>
                <w:lang w:val="en-GB" w:eastAsia="ja-JP"/>
              </w:rPr>
              <w:t>Cost per person-week:</w:t>
            </w:r>
            <w:r>
              <w:rPr>
                <w:rFonts w:cstheme="minorHAnsi"/>
                <w:sz w:val="20"/>
                <w:szCs w:val="20"/>
                <w:lang w:val="en-GB" w:eastAsia="ja-JP"/>
              </w:rPr>
              <w:t xml:space="preserve"> $1,500</w:t>
            </w:r>
          </w:p>
          <w:p w14:paraId="362D6BAE">
            <w:pPr>
              <w:rPr>
                <w:rFonts w:cstheme="minorHAnsi"/>
                <w:sz w:val="20"/>
                <w:szCs w:val="20"/>
                <w:highlight w:val="yellow"/>
                <w:lang w:val="en-GB" w:eastAsia="ja-JP"/>
              </w:rPr>
            </w:pPr>
          </w:p>
          <w:p w14:paraId="60DAA21A">
            <w:pPr>
              <w:rPr>
                <w:rFonts w:eastAsia="宋体" w:cstheme="minorHAnsi"/>
                <w:b/>
                <w:bCs/>
                <w:sz w:val="20"/>
                <w:szCs w:val="20"/>
                <w:u w:val="single"/>
                <w:lang w:val="en-GB" w:eastAsia="zh-CN"/>
              </w:rPr>
            </w:pPr>
            <w:r>
              <w:rPr>
                <w:rFonts w:cstheme="minorHAnsi"/>
                <w:b/>
                <w:bCs/>
                <w:sz w:val="20"/>
                <w:szCs w:val="20"/>
                <w:lang w:val="en-GB" w:eastAsia="ja-JP"/>
              </w:rPr>
              <w:t>Number of person-weeks needed:</w:t>
            </w:r>
            <w:r>
              <w:rPr>
                <w:rFonts w:cstheme="minorHAnsi"/>
                <w:sz w:val="20"/>
                <w:szCs w:val="20"/>
                <w:lang w:val="en-GB" w:eastAsia="ja-JP"/>
              </w:rPr>
              <w:t xml:space="preserve"> </w:t>
            </w:r>
            <w:r>
              <w:rPr>
                <w:rFonts w:eastAsia="宋体" w:cstheme="minorHAnsi"/>
                <w:sz w:val="20"/>
                <w:szCs w:val="20"/>
                <w:lang w:val="en-GB" w:eastAsia="zh-CN"/>
              </w:rPr>
              <w:t>4</w:t>
            </w:r>
          </w:p>
        </w:tc>
        <w:tc>
          <w:tcPr>
            <w:tcW w:w="7564" w:type="dxa"/>
          </w:tcPr>
          <w:p w14:paraId="77902A07">
            <w:pPr>
              <w:rPr>
                <w:rFonts w:cstheme="minorHAnsi"/>
                <w:b/>
                <w:sz w:val="20"/>
                <w:szCs w:val="20"/>
                <w:lang w:val="en-GB" w:eastAsia="ja-JP"/>
              </w:rPr>
            </w:pPr>
            <w:r>
              <w:rPr>
                <w:rFonts w:cstheme="minorHAnsi"/>
                <w:b/>
                <w:sz w:val="20"/>
                <w:szCs w:val="20"/>
                <w:lang w:val="en-GB" w:eastAsia="ja-JP"/>
              </w:rPr>
              <w:t>Role</w:t>
            </w:r>
          </w:p>
          <w:p w14:paraId="18D68659">
            <w:pPr>
              <w:rPr>
                <w:rFonts w:cstheme="minorHAnsi"/>
                <w:sz w:val="20"/>
                <w:szCs w:val="20"/>
                <w:lang w:val="en-GB" w:eastAsia="ja-JP"/>
              </w:rPr>
            </w:pPr>
            <w:r>
              <w:rPr>
                <w:rFonts w:cstheme="minorHAnsi"/>
                <w:sz w:val="20"/>
                <w:szCs w:val="20"/>
                <w:lang w:val="en-GB" w:eastAsia="ja-JP"/>
              </w:rPr>
              <w:t>The consultant will be a gender and social inclusion expert with experience in-depth gender analysis and local community engagement.</w:t>
            </w:r>
          </w:p>
          <w:p w14:paraId="349809A4">
            <w:pPr>
              <w:rPr>
                <w:rFonts w:cstheme="minorHAnsi"/>
                <w:b/>
                <w:sz w:val="20"/>
                <w:szCs w:val="20"/>
                <w:lang w:val="en-GB" w:eastAsia="ja-JP"/>
              </w:rPr>
            </w:pPr>
          </w:p>
          <w:p w14:paraId="31F40ACC">
            <w:pPr>
              <w:rPr>
                <w:rFonts w:cstheme="minorHAnsi"/>
                <w:b/>
                <w:sz w:val="20"/>
                <w:szCs w:val="20"/>
                <w:lang w:val="en-GB" w:eastAsia="ja-JP"/>
              </w:rPr>
            </w:pPr>
            <w:r>
              <w:rPr>
                <w:rFonts w:cstheme="minorHAnsi"/>
                <w:b/>
                <w:sz w:val="20"/>
                <w:szCs w:val="20"/>
                <w:lang w:val="en-GB" w:eastAsia="ja-JP"/>
              </w:rPr>
              <w:t>Deliverables</w:t>
            </w:r>
          </w:p>
          <w:p w14:paraId="1AC38682">
            <w:pPr>
              <w:pStyle w:val="56"/>
              <w:numPr>
                <w:ilvl w:val="0"/>
                <w:numId w:val="37"/>
              </w:numPr>
              <w:ind w:left="432"/>
              <w:rPr>
                <w:rFonts w:cstheme="minorHAnsi"/>
                <w:sz w:val="20"/>
                <w:szCs w:val="20"/>
                <w:u w:val="single"/>
                <w:lang w:val="en-AU" w:eastAsia="ja-JP"/>
              </w:rPr>
            </w:pPr>
            <w:r>
              <w:rPr>
                <w:rFonts w:cstheme="minorHAnsi"/>
                <w:sz w:val="20"/>
                <w:szCs w:val="20"/>
                <w:u w:val="single"/>
                <w:lang w:val="en-AU" w:eastAsia="ja-JP"/>
              </w:rPr>
              <w:t>Preparatory Technical Studies and Reviews (Component A): Prepare inputs and support the required analyses/studies, as agreed with the GEF PPG Team Leader, including:</w:t>
            </w:r>
          </w:p>
          <w:p w14:paraId="7632AE67">
            <w:pPr>
              <w:pStyle w:val="56"/>
              <w:numPr>
                <w:ilvl w:val="0"/>
                <w:numId w:val="38"/>
              </w:numPr>
              <w:ind w:left="692" w:hanging="274"/>
              <w:rPr>
                <w:rFonts w:cstheme="minorHAnsi"/>
                <w:sz w:val="20"/>
                <w:szCs w:val="20"/>
                <w:lang w:val="en-AU" w:eastAsia="ja-JP"/>
              </w:rPr>
            </w:pPr>
            <w:r>
              <w:rPr>
                <w:rFonts w:cstheme="minorHAnsi"/>
                <w:sz w:val="20"/>
                <w:szCs w:val="20"/>
                <w:lang w:val="en-AU" w:eastAsia="ja-JP"/>
              </w:rPr>
              <w:t>Prepare the gender analysis and work closely with the GEF PPG Team Leader to ensure its findings are meaningfully integrated into the project’s strategy, theory of change and results framework;</w:t>
            </w:r>
          </w:p>
          <w:p w14:paraId="1D404A42">
            <w:pPr>
              <w:pStyle w:val="56"/>
              <w:numPr>
                <w:ilvl w:val="0"/>
                <w:numId w:val="38"/>
              </w:numPr>
              <w:ind w:left="692" w:hanging="274"/>
              <w:rPr>
                <w:rFonts w:cstheme="minorHAnsi"/>
                <w:sz w:val="20"/>
                <w:szCs w:val="20"/>
                <w:lang w:val="en-AU" w:eastAsia="ja-JP"/>
              </w:rPr>
            </w:pPr>
            <w:r>
              <w:rPr>
                <w:rFonts w:cstheme="minorHAnsi"/>
                <w:sz w:val="20"/>
                <w:szCs w:val="20"/>
                <w:lang w:val="en-AU" w:eastAsia="ja-JP"/>
              </w:rPr>
              <w:t>Prepare the Stakeholder Analysis and ensure findings are meaningfully integrated into the project's strategy, theory of change and results framework;</w:t>
            </w:r>
          </w:p>
          <w:p w14:paraId="41ACE763">
            <w:pPr>
              <w:pStyle w:val="56"/>
              <w:numPr>
                <w:ilvl w:val="0"/>
                <w:numId w:val="38"/>
              </w:numPr>
              <w:ind w:left="692" w:hanging="274"/>
              <w:rPr>
                <w:rFonts w:cstheme="minorHAnsi"/>
                <w:sz w:val="20"/>
                <w:szCs w:val="20"/>
                <w:lang w:val="en-AU" w:eastAsia="ja-JP"/>
              </w:rPr>
            </w:pPr>
            <w:r>
              <w:rPr>
                <w:rFonts w:cstheme="minorHAnsi"/>
                <w:sz w:val="20"/>
                <w:szCs w:val="20"/>
                <w:lang w:val="en-AU" w:eastAsia="ja-JP"/>
              </w:rPr>
              <w:t>Assist the review of the SESP pre-screening of the PIF and support the detailed assessment of all project risks including consultations with local stakeholders in collaboration with the PPG team;</w:t>
            </w:r>
          </w:p>
          <w:p w14:paraId="246E7C0E">
            <w:pPr>
              <w:pStyle w:val="56"/>
              <w:numPr>
                <w:ilvl w:val="0"/>
                <w:numId w:val="38"/>
              </w:numPr>
              <w:ind w:left="692" w:hanging="274"/>
              <w:rPr>
                <w:rFonts w:cstheme="minorHAnsi"/>
                <w:sz w:val="20"/>
                <w:szCs w:val="20"/>
                <w:lang w:val="en-AU" w:eastAsia="ja-JP"/>
              </w:rPr>
            </w:pPr>
            <w:r>
              <w:rPr>
                <w:rFonts w:cstheme="minorHAnsi"/>
                <w:sz w:val="20"/>
                <w:szCs w:val="20"/>
                <w:lang w:val="en-AU" w:eastAsia="ja-JP"/>
              </w:rPr>
              <w:t>Contribute to assessment of Indigenous Peoples/ethnic minorities within project landscapes and their interests and support development of the Ethnic Minorities Planning Framework/Plan and FPIC procedures as applicable (note the Ethnic Minorities Planning Framework could be stand-alone or incorporated into the Stakeholder Engagement Plan). . B;</w:t>
            </w:r>
          </w:p>
          <w:p w14:paraId="3FE2300E">
            <w:pPr>
              <w:pStyle w:val="56"/>
              <w:numPr>
                <w:ilvl w:val="0"/>
                <w:numId w:val="38"/>
              </w:numPr>
              <w:ind w:left="692" w:hanging="274"/>
              <w:rPr>
                <w:rFonts w:cstheme="minorHAnsi"/>
                <w:sz w:val="20"/>
                <w:szCs w:val="20"/>
                <w:lang w:val="en-AU" w:eastAsia="ja-JP"/>
              </w:rPr>
            </w:pPr>
            <w:r>
              <w:rPr>
                <w:rFonts w:cstheme="minorHAnsi"/>
                <w:sz w:val="20"/>
                <w:szCs w:val="20"/>
                <w:lang w:val="en-AU" w:eastAsia="ja-JP"/>
              </w:rPr>
              <w:t>Advise on gender responsive stakeholder analysis and consultations and ensure that they are complete and comprehensive; and</w:t>
            </w:r>
          </w:p>
          <w:p w14:paraId="6D7E82CE">
            <w:pPr>
              <w:pStyle w:val="56"/>
              <w:numPr>
                <w:ilvl w:val="0"/>
                <w:numId w:val="38"/>
              </w:numPr>
              <w:ind w:left="692" w:hanging="274"/>
              <w:rPr>
                <w:rFonts w:cstheme="minorHAnsi"/>
                <w:sz w:val="20"/>
                <w:szCs w:val="20"/>
                <w:lang w:val="en-AU" w:eastAsia="ja-JP"/>
              </w:rPr>
            </w:pPr>
            <w:r>
              <w:rPr>
                <w:rFonts w:cstheme="minorHAnsi"/>
                <w:sz w:val="20"/>
                <w:szCs w:val="20"/>
                <w:lang w:val="en-AU" w:eastAsia="ja-JP"/>
              </w:rPr>
              <w:t xml:space="preserve">Support the completion of any additional studies that are determined to be needed for the preparation of the ProDoc and all other final outputs as guided by the PPG Team Leader. </w:t>
            </w:r>
          </w:p>
          <w:p w14:paraId="64B13FF2">
            <w:pPr>
              <w:pStyle w:val="56"/>
              <w:ind w:left="691"/>
              <w:rPr>
                <w:rFonts w:cstheme="minorHAnsi"/>
                <w:sz w:val="20"/>
                <w:szCs w:val="20"/>
                <w:lang w:val="en-GB" w:eastAsia="ja-JP"/>
              </w:rPr>
            </w:pPr>
          </w:p>
          <w:p w14:paraId="23461ECE">
            <w:pPr>
              <w:pStyle w:val="56"/>
              <w:numPr>
                <w:ilvl w:val="0"/>
                <w:numId w:val="37"/>
              </w:numPr>
              <w:ind w:left="432"/>
              <w:rPr>
                <w:rFonts w:cstheme="minorHAnsi"/>
                <w:sz w:val="20"/>
                <w:szCs w:val="20"/>
                <w:lang w:val="en-GB" w:eastAsia="ja-JP"/>
              </w:rPr>
            </w:pPr>
            <w:r>
              <w:rPr>
                <w:rFonts w:cstheme="minorHAnsi"/>
                <w:sz w:val="20"/>
                <w:szCs w:val="20"/>
                <w:u w:val="single"/>
                <w:lang w:val="en-AU" w:eastAsia="ja-JP"/>
              </w:rPr>
              <w:t>Formulation of the ProDoc, CEO Endorsement Request and Mandatory Annexes as well as project specific annexes (Component B):</w:t>
            </w:r>
            <w:r>
              <w:rPr>
                <w:rFonts w:cstheme="minorHAnsi"/>
                <w:sz w:val="20"/>
                <w:szCs w:val="20"/>
                <w:lang w:val="en-GB" w:eastAsia="ja-JP"/>
              </w:rPr>
              <w:t xml:space="preserve"> </w:t>
            </w:r>
          </w:p>
          <w:p w14:paraId="0C325D11">
            <w:pPr>
              <w:pStyle w:val="56"/>
              <w:numPr>
                <w:ilvl w:val="0"/>
                <w:numId w:val="39"/>
              </w:numPr>
              <w:ind w:left="692" w:hanging="274"/>
              <w:rPr>
                <w:rFonts w:cstheme="minorHAnsi"/>
                <w:sz w:val="20"/>
                <w:szCs w:val="20"/>
                <w:lang w:val="en-AU" w:eastAsia="ja-JP"/>
              </w:rPr>
            </w:pPr>
            <w:r>
              <w:rPr>
                <w:rFonts w:cstheme="minorHAnsi"/>
                <w:sz w:val="20"/>
                <w:szCs w:val="20"/>
                <w:lang w:val="en-AU" w:eastAsia="ja-JP"/>
              </w:rPr>
              <w:t>Prepare the Gender Mainstreaming Plan, with appropriate budget and identification of appropriate project interventions to ensure gender mainstreaming including at project demonstration sites;</w:t>
            </w:r>
          </w:p>
          <w:p w14:paraId="0F67EC6C">
            <w:pPr>
              <w:pStyle w:val="56"/>
              <w:numPr>
                <w:ilvl w:val="0"/>
                <w:numId w:val="39"/>
              </w:numPr>
              <w:ind w:left="692" w:hanging="274"/>
              <w:rPr>
                <w:rFonts w:cstheme="minorHAnsi"/>
                <w:sz w:val="20"/>
                <w:szCs w:val="20"/>
                <w:lang w:val="en-AU" w:eastAsia="ja-JP"/>
              </w:rPr>
            </w:pPr>
            <w:r>
              <w:rPr>
                <w:rFonts w:cstheme="minorHAnsi"/>
                <w:sz w:val="20"/>
                <w:szCs w:val="20"/>
                <w:lang w:val="en-AU" w:eastAsia="ja-JP"/>
              </w:rPr>
              <w:t>Using the findings from the gender analysis, provide inputs to the project’s results framework and theory of change; ensure gender considerations are integrated into the project’s theory of change and indicator framework;</w:t>
            </w:r>
          </w:p>
          <w:p w14:paraId="1A35E612">
            <w:pPr>
              <w:pStyle w:val="56"/>
              <w:numPr>
                <w:ilvl w:val="0"/>
                <w:numId w:val="39"/>
              </w:numPr>
              <w:ind w:left="692" w:hanging="274"/>
              <w:rPr>
                <w:rFonts w:cstheme="minorHAnsi"/>
                <w:sz w:val="20"/>
                <w:szCs w:val="20"/>
                <w:lang w:val="en-AU" w:eastAsia="ja-JP"/>
              </w:rPr>
            </w:pPr>
            <w:r>
              <w:rPr>
                <w:rFonts w:cstheme="minorHAnsi"/>
                <w:sz w:val="20"/>
                <w:szCs w:val="20"/>
                <w:lang w:val="en-AU" w:eastAsia="ja-JP"/>
              </w:rPr>
              <w:t>Provide inputs for the development of the Stakeholder Engagement Plan to ensure it is Socially Inclusive and Gender Responsive;</w:t>
            </w:r>
          </w:p>
          <w:p w14:paraId="0E1BCEBD">
            <w:pPr>
              <w:pStyle w:val="56"/>
              <w:numPr>
                <w:ilvl w:val="0"/>
                <w:numId w:val="39"/>
              </w:numPr>
              <w:ind w:left="692" w:hanging="274"/>
              <w:rPr>
                <w:rFonts w:cstheme="minorHAnsi"/>
                <w:sz w:val="20"/>
                <w:szCs w:val="20"/>
                <w:lang w:val="en-AU" w:eastAsia="ja-JP"/>
              </w:rPr>
            </w:pPr>
            <w:r>
              <w:rPr>
                <w:rFonts w:cstheme="minorHAnsi"/>
                <w:sz w:val="20"/>
                <w:szCs w:val="20"/>
                <w:lang w:val="en-AU" w:eastAsia="ja-JP"/>
              </w:rPr>
              <w:t>Prepare the Gender Action Plan and Gender Mainstreaming Plan, along with their Budget;</w:t>
            </w:r>
          </w:p>
          <w:p w14:paraId="590DD3BE">
            <w:pPr>
              <w:pStyle w:val="56"/>
              <w:numPr>
                <w:ilvl w:val="1"/>
                <w:numId w:val="16"/>
              </w:numPr>
              <w:ind w:left="691" w:hanging="270"/>
              <w:rPr>
                <w:rFonts w:eastAsia="Calibri" w:cstheme="minorHAnsi"/>
                <w:sz w:val="20"/>
                <w:szCs w:val="20"/>
                <w:lang w:val="en-GB"/>
              </w:rPr>
            </w:pPr>
            <w:r>
              <w:rPr>
                <w:rFonts w:cstheme="minorHAnsi"/>
                <w:sz w:val="20"/>
                <w:szCs w:val="20"/>
                <w:lang w:val="en-AU" w:eastAsia="ja-JP"/>
              </w:rPr>
              <w:t xml:space="preserve">Support the agreements on project management arrangements and ensure that gender and safeguards are adequately incorporated into these arrangements. </w:t>
            </w:r>
          </w:p>
          <w:p w14:paraId="19FC091E">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Support the resolving of comments and address all feedback as necessary until final GEF CEO Endorsement</w:t>
            </w:r>
          </w:p>
          <w:p w14:paraId="5985C28E">
            <w:pPr>
              <w:pStyle w:val="56"/>
              <w:ind w:left="692"/>
              <w:rPr>
                <w:rFonts w:cstheme="minorHAnsi"/>
                <w:sz w:val="20"/>
                <w:szCs w:val="20"/>
                <w:lang w:val="en-AU" w:eastAsia="ja-JP"/>
              </w:rPr>
            </w:pPr>
          </w:p>
          <w:p w14:paraId="60E7D053">
            <w:pPr>
              <w:pStyle w:val="56"/>
              <w:ind w:left="430"/>
              <w:rPr>
                <w:rFonts w:cstheme="minorHAnsi"/>
                <w:sz w:val="20"/>
                <w:szCs w:val="20"/>
                <w:lang w:val="en-GB" w:eastAsia="ja-JP"/>
              </w:rPr>
            </w:pPr>
          </w:p>
          <w:p w14:paraId="420433FB">
            <w:pPr>
              <w:pStyle w:val="56"/>
              <w:numPr>
                <w:ilvl w:val="0"/>
                <w:numId w:val="37"/>
              </w:numPr>
              <w:ind w:left="432"/>
              <w:rPr>
                <w:rFonts w:cstheme="minorHAnsi"/>
                <w:sz w:val="20"/>
                <w:szCs w:val="20"/>
                <w:u w:val="single"/>
                <w:lang w:val="en-AU" w:eastAsia="ja-JP"/>
              </w:rPr>
            </w:pPr>
            <w:r>
              <w:rPr>
                <w:rFonts w:cstheme="minorHAnsi"/>
                <w:sz w:val="20"/>
                <w:szCs w:val="20"/>
                <w:u w:val="single"/>
                <w:lang w:val="en-AU" w:eastAsia="ja-JP"/>
              </w:rPr>
              <w:t xml:space="preserve">Validation Workshop (Component C): </w:t>
            </w:r>
          </w:p>
          <w:p w14:paraId="40C4A779">
            <w:pPr>
              <w:pStyle w:val="56"/>
              <w:numPr>
                <w:ilvl w:val="0"/>
                <w:numId w:val="40"/>
              </w:numPr>
              <w:ind w:left="692" w:hanging="274"/>
              <w:rPr>
                <w:rFonts w:cstheme="minorHAnsi"/>
                <w:sz w:val="20"/>
                <w:szCs w:val="20"/>
                <w:lang w:val="en-GB" w:eastAsia="ja-JP"/>
              </w:rPr>
            </w:pPr>
            <w:r>
              <w:rPr>
                <w:rFonts w:cstheme="minorHAnsi"/>
                <w:sz w:val="20"/>
                <w:szCs w:val="20"/>
                <w:lang w:val="en-GB" w:eastAsia="ja-JP"/>
              </w:rPr>
              <w:t>Contribute to both the inception and the validation workshop;</w:t>
            </w:r>
          </w:p>
          <w:p w14:paraId="58A93FC1">
            <w:pPr>
              <w:pStyle w:val="56"/>
              <w:numPr>
                <w:ilvl w:val="0"/>
                <w:numId w:val="40"/>
              </w:numPr>
              <w:ind w:left="692" w:hanging="274"/>
              <w:rPr>
                <w:rFonts w:cstheme="minorHAnsi"/>
                <w:sz w:val="20"/>
                <w:szCs w:val="20"/>
                <w:lang w:val="en-GB" w:eastAsia="ja-JP"/>
              </w:rPr>
            </w:pPr>
            <w:r>
              <w:rPr>
                <w:rFonts w:cstheme="minorHAnsi"/>
                <w:sz w:val="20"/>
                <w:szCs w:val="20"/>
                <w:lang w:val="en-GB" w:eastAsia="ja-JP"/>
              </w:rPr>
              <w:t>Support all necessary revisions that arise during the workshop, as appropriate;</w:t>
            </w:r>
          </w:p>
          <w:p w14:paraId="16200D7A">
            <w:pPr>
              <w:pStyle w:val="56"/>
              <w:numPr>
                <w:ilvl w:val="0"/>
                <w:numId w:val="40"/>
              </w:numPr>
              <w:ind w:left="692" w:hanging="274"/>
              <w:rPr>
                <w:rFonts w:eastAsia="Calibri" w:cstheme="minorHAnsi"/>
                <w:sz w:val="20"/>
                <w:szCs w:val="20"/>
                <w:lang w:val="en-GB"/>
              </w:rPr>
            </w:pPr>
            <w:r>
              <w:rPr>
                <w:rFonts w:eastAsia="Calibri" w:cstheme="minorHAnsi"/>
                <w:sz w:val="20"/>
                <w:szCs w:val="20"/>
                <w:lang w:val="en-GB"/>
              </w:rPr>
              <w:t>Contribute to the completion of both the Inception and the Validation Workshop Reports.</w:t>
            </w:r>
          </w:p>
          <w:p w14:paraId="06BE68BA">
            <w:pPr>
              <w:pStyle w:val="56"/>
              <w:ind w:left="692" w:hanging="274"/>
              <w:rPr>
                <w:rFonts w:cstheme="minorHAnsi"/>
                <w:sz w:val="20"/>
                <w:szCs w:val="20"/>
                <w:lang w:val="en-GB" w:eastAsia="ja-JP"/>
              </w:rPr>
            </w:pPr>
          </w:p>
          <w:p w14:paraId="7D54A909">
            <w:pPr>
              <w:pStyle w:val="56"/>
              <w:ind w:left="430"/>
              <w:rPr>
                <w:rFonts w:cstheme="minorHAnsi"/>
                <w:sz w:val="20"/>
                <w:szCs w:val="20"/>
                <w:lang w:val="en-GB" w:eastAsia="ja-JP"/>
              </w:rPr>
            </w:pPr>
          </w:p>
          <w:p w14:paraId="33EC67C3">
            <w:pPr>
              <w:pStyle w:val="56"/>
              <w:numPr>
                <w:ilvl w:val="0"/>
                <w:numId w:val="37"/>
              </w:numPr>
              <w:ind w:left="432"/>
              <w:rPr>
                <w:rFonts w:cstheme="minorHAnsi"/>
                <w:sz w:val="20"/>
                <w:szCs w:val="20"/>
                <w:u w:val="single"/>
                <w:lang w:val="en-AU" w:eastAsia="ja-JP"/>
              </w:rPr>
            </w:pPr>
            <w:r>
              <w:rPr>
                <w:rFonts w:cstheme="minorHAnsi"/>
                <w:sz w:val="20"/>
                <w:szCs w:val="20"/>
                <w:u w:val="single"/>
                <w:lang w:val="en-AU" w:eastAsia="ja-JP"/>
              </w:rPr>
              <w:t>Final Deliverables:</w:t>
            </w:r>
          </w:p>
          <w:p w14:paraId="1DFB9C42">
            <w:pPr>
              <w:pStyle w:val="56"/>
              <w:numPr>
                <w:ilvl w:val="0"/>
                <w:numId w:val="41"/>
              </w:numPr>
              <w:ind w:left="692" w:hanging="274"/>
              <w:rPr>
                <w:rFonts w:cstheme="minorHAnsi"/>
                <w:sz w:val="20"/>
                <w:szCs w:val="20"/>
                <w:lang w:val="en-AU" w:eastAsia="ja-JP"/>
              </w:rPr>
            </w:pPr>
            <w:r>
              <w:rPr>
                <w:rFonts w:cstheme="minorHAnsi"/>
                <w:sz w:val="20"/>
                <w:szCs w:val="20"/>
                <w:lang w:val="en-AU" w:eastAsia="ja-JP"/>
              </w:rPr>
              <w:t>Final Gender Analysis and Action Plan and budget;</w:t>
            </w:r>
          </w:p>
          <w:p w14:paraId="1CA20788">
            <w:pPr>
              <w:pStyle w:val="56"/>
              <w:numPr>
                <w:ilvl w:val="0"/>
                <w:numId w:val="41"/>
              </w:numPr>
              <w:ind w:left="692" w:hanging="274"/>
              <w:rPr>
                <w:rFonts w:cstheme="minorHAnsi"/>
                <w:sz w:val="20"/>
                <w:szCs w:val="20"/>
                <w:lang w:val="en-AU" w:eastAsia="ja-JP"/>
              </w:rPr>
            </w:pPr>
            <w:r>
              <w:rPr>
                <w:rFonts w:cstheme="minorHAnsi"/>
                <w:sz w:val="20"/>
                <w:szCs w:val="20"/>
                <w:lang w:val="en-AU" w:eastAsia="ja-JP"/>
              </w:rPr>
              <w:t>Finalized Stakeholder Engagement Plan including on gender-responsive consultation and consultations with local communities;</w:t>
            </w:r>
          </w:p>
          <w:p w14:paraId="5FB256BF">
            <w:pPr>
              <w:pStyle w:val="56"/>
              <w:numPr>
                <w:ilvl w:val="0"/>
                <w:numId w:val="41"/>
              </w:numPr>
              <w:ind w:left="692" w:hanging="274"/>
              <w:rPr>
                <w:rFonts w:cstheme="minorHAnsi"/>
                <w:sz w:val="20"/>
                <w:szCs w:val="20"/>
                <w:lang w:val="en-AU" w:eastAsia="ja-JP"/>
              </w:rPr>
            </w:pPr>
            <w:r>
              <w:rPr>
                <w:rFonts w:cstheme="minorHAnsi"/>
                <w:sz w:val="20"/>
                <w:szCs w:val="20"/>
                <w:lang w:val="en-AU" w:eastAsia="ja-JP"/>
              </w:rPr>
              <w:t>Appropriate inputs to the final UNDP‐GEF project document based on guidance from the PPG Team Leader;</w:t>
            </w:r>
          </w:p>
          <w:p w14:paraId="20EC3EBB">
            <w:pPr>
              <w:pStyle w:val="56"/>
              <w:numPr>
                <w:ilvl w:val="0"/>
                <w:numId w:val="41"/>
              </w:numPr>
              <w:ind w:left="692" w:hanging="274"/>
              <w:rPr>
                <w:rFonts w:cstheme="minorHAnsi"/>
                <w:lang w:val="en-AU"/>
              </w:rPr>
            </w:pPr>
            <w:r>
              <w:rPr>
                <w:rFonts w:eastAsia="Calibri" w:cstheme="minorHAnsi"/>
                <w:color w:val="000000" w:themeColor="text1"/>
                <w:sz w:val="20"/>
                <w:szCs w:val="20"/>
                <w:lang w:val="en-GB"/>
                <w14:textFill>
                  <w14:solidFill>
                    <w14:schemeClr w14:val="tx1"/>
                  </w14:solidFill>
                </w14:textFill>
              </w:rPr>
              <w:t xml:space="preserve">Upon request from the UNDP </w:t>
            </w:r>
            <w:r>
              <w:rPr>
                <w:rFonts w:eastAsia="Calibri" w:cstheme="minorHAnsi"/>
                <w:color w:val="000000" w:themeColor="text1"/>
                <w:sz w:val="20"/>
                <w:szCs w:val="20"/>
                <w:lang w:val="en-AU"/>
                <w14:textFill>
                  <w14:solidFill>
                    <w14:schemeClr w14:val="tx1"/>
                  </w14:solidFill>
                </w14:textFill>
              </w:rPr>
              <w:t>Regional Technical Adviser/Regional Technical Specialist during the PPG implementation, the PPG team may be required to prepare additional annexes.</w:t>
            </w:r>
          </w:p>
          <w:p w14:paraId="57AA0ECB">
            <w:pPr>
              <w:rPr>
                <w:rFonts w:cstheme="minorHAnsi"/>
                <w:b/>
                <w:sz w:val="20"/>
                <w:szCs w:val="20"/>
                <w:lang w:val="en-GB" w:eastAsia="ja-JP"/>
              </w:rPr>
            </w:pPr>
          </w:p>
          <w:p w14:paraId="04EDF22D">
            <w:pPr>
              <w:rPr>
                <w:rFonts w:cstheme="minorHAnsi"/>
                <w:b/>
                <w:sz w:val="20"/>
                <w:szCs w:val="20"/>
                <w:lang w:val="en-GB" w:eastAsia="ja-JP"/>
              </w:rPr>
            </w:pPr>
            <w:r>
              <w:rPr>
                <w:rFonts w:cstheme="minorHAnsi"/>
                <w:b/>
                <w:sz w:val="20"/>
                <w:szCs w:val="20"/>
                <w:lang w:val="en-GB" w:eastAsia="ja-JP"/>
              </w:rPr>
              <w:t>Qualifications</w:t>
            </w:r>
          </w:p>
          <w:p w14:paraId="1582D00D">
            <w:pPr>
              <w:pStyle w:val="56"/>
              <w:numPr>
                <w:ilvl w:val="0"/>
                <w:numId w:val="17"/>
              </w:numPr>
              <w:rPr>
                <w:rFonts w:cstheme="minorHAnsi"/>
                <w:sz w:val="20"/>
                <w:szCs w:val="20"/>
                <w:lang w:val="en-GB" w:eastAsia="ja-JP"/>
              </w:rPr>
            </w:pPr>
            <w:r>
              <w:rPr>
                <w:rFonts w:cstheme="minorHAnsi"/>
                <w:sz w:val="20"/>
                <w:szCs w:val="20"/>
                <w:lang w:val="en-GB" w:eastAsia="ja-JP"/>
              </w:rPr>
              <w:t>Master’s degree or higher in a relevant field, such as social studies, sociology, anthropology, gender studies, gender and development, women and environment, or women and sustainable development;</w:t>
            </w:r>
          </w:p>
          <w:p w14:paraId="7F30CBBA">
            <w:pPr>
              <w:pStyle w:val="56"/>
              <w:numPr>
                <w:ilvl w:val="0"/>
                <w:numId w:val="17"/>
              </w:numPr>
              <w:rPr>
                <w:rFonts w:cstheme="minorHAnsi"/>
                <w:sz w:val="20"/>
                <w:szCs w:val="20"/>
                <w:lang w:val="en-GB" w:eastAsia="ja-JP"/>
              </w:rPr>
            </w:pPr>
            <w:r>
              <w:rPr>
                <w:rFonts w:cstheme="minorHAnsi"/>
                <w:sz w:val="20"/>
                <w:szCs w:val="20"/>
                <w:lang w:val="en-GB" w:eastAsia="ja-JP"/>
              </w:rPr>
              <w:t>Minimum 7 years of demonstrable experience in gender mainstreaming, and community development;</w:t>
            </w:r>
          </w:p>
          <w:p w14:paraId="06161433">
            <w:pPr>
              <w:pStyle w:val="56"/>
              <w:numPr>
                <w:ilvl w:val="0"/>
                <w:numId w:val="17"/>
              </w:numPr>
              <w:rPr>
                <w:rFonts w:cstheme="minorHAnsi"/>
                <w:sz w:val="20"/>
                <w:szCs w:val="20"/>
                <w:lang w:val="en-GB" w:eastAsia="ja-JP"/>
              </w:rPr>
            </w:pPr>
            <w:r>
              <w:rPr>
                <w:rFonts w:cstheme="minorHAnsi"/>
                <w:sz w:val="20"/>
                <w:szCs w:val="20"/>
                <w:lang w:val="en-GB" w:eastAsia="ja-JP"/>
              </w:rPr>
              <w:t>Experience carrying out participatory gender analysis; experience collecting and formulating gender responsive indicators and sex-disaggregated data and preparing gender responsive project analysis; developing gender action plans;</w:t>
            </w:r>
          </w:p>
          <w:p w14:paraId="0D742939">
            <w:pPr>
              <w:pStyle w:val="56"/>
              <w:numPr>
                <w:ilvl w:val="0"/>
                <w:numId w:val="17"/>
              </w:numPr>
              <w:rPr>
                <w:rFonts w:cstheme="minorHAnsi"/>
                <w:sz w:val="20"/>
                <w:szCs w:val="20"/>
                <w:lang w:val="en-GB" w:eastAsia="ja-JP"/>
              </w:rPr>
            </w:pPr>
            <w:r>
              <w:rPr>
                <w:rFonts w:cstheme="minorHAnsi"/>
                <w:sz w:val="20"/>
                <w:szCs w:val="20"/>
                <w:lang w:val="en-GB" w:eastAsia="ja-JP"/>
              </w:rPr>
              <w:t>Demonstrated understanding of the links between sustainable development, social and gender issues;</w:t>
            </w:r>
          </w:p>
          <w:p w14:paraId="74C91004">
            <w:pPr>
              <w:pStyle w:val="56"/>
              <w:numPr>
                <w:ilvl w:val="0"/>
                <w:numId w:val="17"/>
              </w:numPr>
              <w:rPr>
                <w:rFonts w:cstheme="minorHAnsi"/>
                <w:sz w:val="20"/>
                <w:szCs w:val="20"/>
                <w:lang w:val="en-GB" w:eastAsia="ja-JP"/>
              </w:rPr>
            </w:pPr>
            <w:r>
              <w:rPr>
                <w:rFonts w:cstheme="minorHAnsi"/>
                <w:sz w:val="20"/>
                <w:szCs w:val="20"/>
                <w:lang w:val="en-GB" w:eastAsia="ja-JP"/>
              </w:rPr>
              <w:t>Demonstrated experience working on policy and programmatic issues with national and local governments and civil society organizations including community organizations;</w:t>
            </w:r>
          </w:p>
          <w:p w14:paraId="3365E482">
            <w:pPr>
              <w:pStyle w:val="56"/>
              <w:numPr>
                <w:ilvl w:val="0"/>
                <w:numId w:val="17"/>
              </w:numPr>
              <w:rPr>
                <w:rFonts w:cstheme="minorHAnsi"/>
                <w:sz w:val="20"/>
                <w:szCs w:val="20"/>
                <w:lang w:val="en-GB" w:eastAsia="ja-JP"/>
              </w:rPr>
            </w:pPr>
            <w:r>
              <w:rPr>
                <w:rFonts w:cstheme="minorHAnsi"/>
                <w:sz w:val="20"/>
                <w:szCs w:val="20"/>
                <w:lang w:val="en-GB" w:eastAsia="ja-JP"/>
              </w:rPr>
              <w:t>Demonstrated experience in carrying out consultations and community engagement is highly desired;</w:t>
            </w:r>
          </w:p>
          <w:p w14:paraId="038CE949">
            <w:pPr>
              <w:pStyle w:val="56"/>
              <w:numPr>
                <w:ilvl w:val="0"/>
                <w:numId w:val="17"/>
              </w:numPr>
              <w:rPr>
                <w:rFonts w:cstheme="minorHAnsi"/>
                <w:sz w:val="20"/>
                <w:szCs w:val="20"/>
                <w:lang w:val="en-GB" w:eastAsia="ja-JP"/>
              </w:rPr>
            </w:pPr>
            <w:r>
              <w:rPr>
                <w:rFonts w:cstheme="minorHAnsi"/>
                <w:sz w:val="20"/>
                <w:szCs w:val="20"/>
                <w:lang w:val="en-GB" w:eastAsia="ja-JP"/>
              </w:rPr>
              <w:t>Experience with project development and results-based management methodologies is highly desired;</w:t>
            </w:r>
          </w:p>
          <w:p w14:paraId="0AFB59F9">
            <w:pPr>
              <w:pStyle w:val="56"/>
              <w:numPr>
                <w:ilvl w:val="0"/>
                <w:numId w:val="17"/>
              </w:numPr>
              <w:rPr>
                <w:rFonts w:cstheme="minorHAnsi"/>
                <w:b/>
                <w:sz w:val="20"/>
                <w:szCs w:val="20"/>
                <w:lang w:val="en-GB" w:eastAsia="ja-JP"/>
              </w:rPr>
            </w:pPr>
            <w:r>
              <w:rPr>
                <w:rFonts w:cstheme="minorHAnsi"/>
                <w:sz w:val="20"/>
                <w:szCs w:val="20"/>
                <w:lang w:val="en-GB" w:eastAsia="ja-JP"/>
              </w:rPr>
              <w:t>Excellent analytical, writing, advocacy, presentation, and communications skills are required; and Excellent written and oral communication skills in English.</w:t>
            </w:r>
          </w:p>
        </w:tc>
      </w:tr>
      <w:tr w14:paraId="565D5E43">
        <w:tc>
          <w:tcPr>
            <w:tcW w:w="1673" w:type="dxa"/>
          </w:tcPr>
          <w:p w14:paraId="35E32FDD">
            <w:pPr>
              <w:rPr>
                <w:rFonts w:cstheme="minorHAnsi"/>
                <w:sz w:val="20"/>
                <w:szCs w:val="20"/>
                <w:lang w:val="en-GB" w:eastAsia="ja-JP"/>
              </w:rPr>
            </w:pPr>
            <w:r>
              <w:rPr>
                <w:rFonts w:cstheme="minorHAnsi"/>
                <w:b/>
                <w:bCs/>
                <w:sz w:val="20"/>
                <w:szCs w:val="20"/>
                <w:u w:val="single"/>
                <w:lang w:val="en-GB" w:eastAsia="ja-JP"/>
              </w:rPr>
              <w:t>Consultant:</w:t>
            </w:r>
          </w:p>
          <w:p w14:paraId="4F464462">
            <w:pPr>
              <w:rPr>
                <w:rFonts w:cstheme="minorHAnsi"/>
                <w:sz w:val="20"/>
                <w:szCs w:val="20"/>
                <w:lang w:val="en-GB" w:eastAsia="ja-JP"/>
              </w:rPr>
            </w:pPr>
            <w:r>
              <w:rPr>
                <w:rFonts w:cstheme="minorHAnsi"/>
                <w:sz w:val="20"/>
                <w:szCs w:val="20"/>
                <w:lang w:val="en-GB" w:eastAsia="ja-JP"/>
              </w:rPr>
              <w:t>National Spatial Planning Specialist</w:t>
            </w:r>
          </w:p>
          <w:p w14:paraId="55BA4D2D">
            <w:pPr>
              <w:rPr>
                <w:rFonts w:cstheme="minorHAnsi"/>
                <w:sz w:val="20"/>
                <w:szCs w:val="20"/>
                <w:lang w:val="en-GB" w:eastAsia="ja-JP"/>
              </w:rPr>
            </w:pPr>
          </w:p>
          <w:p w14:paraId="672F8E90">
            <w:pPr>
              <w:rPr>
                <w:rFonts w:cstheme="minorHAnsi"/>
                <w:sz w:val="20"/>
                <w:szCs w:val="20"/>
                <w:lang w:val="en-GB" w:eastAsia="ja-JP"/>
              </w:rPr>
            </w:pPr>
            <w:r>
              <w:rPr>
                <w:rFonts w:cstheme="minorHAnsi"/>
                <w:b/>
                <w:sz w:val="20"/>
                <w:szCs w:val="20"/>
                <w:lang w:val="en-GB" w:eastAsia="ja-JP"/>
              </w:rPr>
              <w:t>Type:</w:t>
            </w:r>
            <w:r>
              <w:rPr>
                <w:rFonts w:cstheme="minorHAnsi"/>
                <w:sz w:val="20"/>
                <w:szCs w:val="20"/>
                <w:lang w:val="en-GB" w:eastAsia="ja-JP"/>
              </w:rPr>
              <w:t xml:space="preserve"> NC</w:t>
            </w:r>
          </w:p>
          <w:p w14:paraId="267D14A3">
            <w:pPr>
              <w:rPr>
                <w:rFonts w:cstheme="minorHAnsi"/>
                <w:sz w:val="20"/>
                <w:szCs w:val="20"/>
                <w:highlight w:val="yellow"/>
                <w:lang w:val="en-GB" w:eastAsia="ja-JP"/>
              </w:rPr>
            </w:pPr>
          </w:p>
          <w:p w14:paraId="278D8164">
            <w:pPr>
              <w:rPr>
                <w:rFonts w:cstheme="minorHAnsi"/>
                <w:sz w:val="20"/>
                <w:szCs w:val="20"/>
                <w:highlight w:val="yellow"/>
                <w:lang w:val="en-GB" w:eastAsia="ja-JP"/>
              </w:rPr>
            </w:pPr>
            <w:r>
              <w:rPr>
                <w:rFonts w:cstheme="minorHAnsi"/>
                <w:b/>
                <w:bCs/>
                <w:sz w:val="20"/>
                <w:szCs w:val="20"/>
                <w:lang w:val="en-GB" w:eastAsia="ja-JP"/>
              </w:rPr>
              <w:t>Cost per person-week:</w:t>
            </w:r>
            <w:r>
              <w:rPr>
                <w:rFonts w:cstheme="minorHAnsi"/>
                <w:sz w:val="20"/>
                <w:szCs w:val="20"/>
                <w:lang w:val="en-GB" w:eastAsia="ja-JP"/>
              </w:rPr>
              <w:t xml:space="preserve"> $1,750</w:t>
            </w:r>
          </w:p>
          <w:p w14:paraId="7AA99A70">
            <w:pPr>
              <w:rPr>
                <w:rFonts w:cstheme="minorHAnsi"/>
                <w:sz w:val="20"/>
                <w:szCs w:val="20"/>
                <w:highlight w:val="yellow"/>
                <w:lang w:val="en-GB" w:eastAsia="ja-JP"/>
              </w:rPr>
            </w:pPr>
          </w:p>
          <w:p w14:paraId="5796B4F8">
            <w:pPr>
              <w:rPr>
                <w:rFonts w:cstheme="minorHAnsi"/>
                <w:sz w:val="20"/>
                <w:szCs w:val="20"/>
                <w:highlight w:val="yellow"/>
                <w:lang w:val="en-GB" w:eastAsia="ja-JP"/>
              </w:rPr>
            </w:pPr>
            <w:r>
              <w:rPr>
                <w:rFonts w:cstheme="minorHAnsi"/>
                <w:b/>
                <w:sz w:val="20"/>
                <w:szCs w:val="20"/>
                <w:lang w:val="en-GB" w:eastAsia="ja-JP"/>
              </w:rPr>
              <w:t>Number of person-weeks needed:</w:t>
            </w:r>
            <w:r>
              <w:rPr>
                <w:rFonts w:cstheme="minorHAnsi"/>
                <w:sz w:val="20"/>
                <w:szCs w:val="20"/>
                <w:lang w:val="en-GB" w:eastAsia="ja-JP"/>
              </w:rPr>
              <w:t xml:space="preserve"> 6</w:t>
            </w:r>
          </w:p>
          <w:p w14:paraId="4BA978B7">
            <w:pPr>
              <w:rPr>
                <w:rFonts w:cstheme="minorHAnsi"/>
                <w:b/>
                <w:sz w:val="20"/>
                <w:szCs w:val="20"/>
                <w:u w:val="single"/>
                <w:lang w:val="en-GB" w:eastAsia="ja-JP"/>
              </w:rPr>
            </w:pPr>
          </w:p>
        </w:tc>
        <w:tc>
          <w:tcPr>
            <w:tcW w:w="7564" w:type="dxa"/>
          </w:tcPr>
          <w:p w14:paraId="3F88F087">
            <w:pPr>
              <w:jc w:val="both"/>
              <w:rPr>
                <w:rFonts w:cstheme="minorHAnsi"/>
                <w:b/>
                <w:sz w:val="20"/>
                <w:szCs w:val="20"/>
                <w:lang w:val="en-GB" w:eastAsia="ja-JP"/>
              </w:rPr>
            </w:pPr>
            <w:r>
              <w:rPr>
                <w:rFonts w:cstheme="minorHAnsi"/>
                <w:b/>
                <w:sz w:val="20"/>
                <w:szCs w:val="20"/>
                <w:lang w:val="en-GB" w:eastAsia="ja-JP"/>
              </w:rPr>
              <w:t>Role</w:t>
            </w:r>
          </w:p>
          <w:p w14:paraId="0380420A">
            <w:pPr>
              <w:jc w:val="both"/>
              <w:rPr>
                <w:rFonts w:cstheme="minorHAnsi"/>
                <w:sz w:val="20"/>
                <w:szCs w:val="20"/>
                <w:lang w:val="en-GB" w:eastAsia="ja-JP"/>
              </w:rPr>
            </w:pPr>
            <w:r>
              <w:rPr>
                <w:rFonts w:cstheme="minorHAnsi"/>
                <w:sz w:val="20"/>
                <w:szCs w:val="20"/>
                <w:lang w:val="en-GB" w:eastAsia="ja-JP"/>
              </w:rPr>
              <w:t xml:space="preserve">The </w:t>
            </w:r>
            <w:r>
              <w:rPr>
                <w:rFonts w:cstheme="minorHAnsi"/>
                <w:sz w:val="20"/>
                <w:szCs w:val="20"/>
                <w:lang w:val="en-GB"/>
              </w:rPr>
              <w:t xml:space="preserve">National Spatial Planning Specialist </w:t>
            </w:r>
            <w:r>
              <w:rPr>
                <w:rFonts w:cstheme="minorHAnsi"/>
                <w:sz w:val="20"/>
                <w:szCs w:val="20"/>
                <w:lang w:val="en-GB" w:eastAsia="ja-JP"/>
              </w:rPr>
              <w:t xml:space="preserve">will be responsible for providing necessary inputs and conduct technical studies &amp; reviews mainly related to Component 2 (landscape management and policy integration: implementation actions of landscape management with territorial spatial planning to restore habitats and conserve biodiversity) to support the development of the UNDP Project Document (ProDoc). The consultant will be a specialist in ecosystem restoration policy and technical guidelines, biodiversity-related spatial planning and OECMs, with knowledge in the field of landscape restoration and management. </w:t>
            </w:r>
          </w:p>
          <w:p w14:paraId="6A7228AF">
            <w:pPr>
              <w:jc w:val="both"/>
              <w:rPr>
                <w:rFonts w:cstheme="minorHAnsi"/>
                <w:sz w:val="20"/>
                <w:szCs w:val="20"/>
                <w:lang w:val="en-GB" w:eastAsia="ja-JP"/>
              </w:rPr>
            </w:pPr>
          </w:p>
          <w:p w14:paraId="388FC47A">
            <w:pPr>
              <w:jc w:val="both"/>
              <w:rPr>
                <w:rFonts w:cstheme="minorHAnsi"/>
                <w:sz w:val="20"/>
                <w:szCs w:val="20"/>
                <w:lang w:val="en-GB" w:eastAsia="ja-JP"/>
              </w:rPr>
            </w:pPr>
            <w:r>
              <w:rPr>
                <w:rFonts w:cstheme="minorHAnsi"/>
                <w:sz w:val="20"/>
                <w:szCs w:val="20"/>
                <w:lang w:val="en-GB"/>
              </w:rPr>
              <w:t>The National Spatial Planning Specialist</w:t>
            </w:r>
            <w:r>
              <w:rPr>
                <w:rFonts w:cstheme="minorHAnsi"/>
                <w:b/>
                <w:sz w:val="20"/>
                <w:szCs w:val="20"/>
                <w:lang w:val="en-GB" w:eastAsia="ja-JP"/>
              </w:rPr>
              <w:t xml:space="preserve"> </w:t>
            </w:r>
            <w:r>
              <w:rPr>
                <w:rFonts w:cstheme="minorHAnsi"/>
                <w:sz w:val="20"/>
                <w:szCs w:val="20"/>
                <w:lang w:val="en-GB" w:eastAsia="ja-JP"/>
              </w:rPr>
              <w:t>also</w:t>
            </w:r>
            <w:r>
              <w:rPr>
                <w:rFonts w:cstheme="minorHAnsi"/>
                <w:b/>
                <w:sz w:val="20"/>
                <w:szCs w:val="20"/>
                <w:lang w:val="en-GB" w:eastAsia="ja-JP"/>
              </w:rPr>
              <w:t xml:space="preserve"> </w:t>
            </w:r>
            <w:r>
              <w:rPr>
                <w:rFonts w:cstheme="minorHAnsi"/>
                <w:sz w:val="20"/>
                <w:szCs w:val="20"/>
                <w:lang w:val="en-GB" w:eastAsia="ja-JP"/>
              </w:rPr>
              <w:t xml:space="preserve">will coordinate the development of project interventions and baseline assessments for four project targeted landscapes in </w:t>
            </w:r>
            <w:r>
              <w:rPr>
                <w:rFonts w:cstheme="minorHAnsi"/>
                <w:sz w:val="20"/>
                <w:szCs w:val="20"/>
                <w:lang w:val="en-GB"/>
              </w:rPr>
              <w:t>Yunnan, Sichuan, Jiangsu and Zhejiang provinces.</w:t>
            </w:r>
            <w:r>
              <w:rPr>
                <w:rFonts w:cstheme="minorHAnsi"/>
                <w:sz w:val="20"/>
                <w:szCs w:val="20"/>
                <w:lang w:val="en-GB" w:eastAsia="ja-JP"/>
              </w:rPr>
              <w:t xml:space="preserve"> The consultant will be responsible for the preparation of a detailed landscape profile report, for assessing site needs and capacities, and for defining appropriate project targets and interventions at landscape level. The consultant will also work with the National Gender and Safeguard Specialist on formulation’s stakeholder consultation processes within the four demonstration landscapes to support the development of the UNDP Project Document (ProDoc), with regard to the landscape and sustainable biodiversity resource management. </w:t>
            </w:r>
          </w:p>
          <w:p w14:paraId="7E713C4E">
            <w:pPr>
              <w:jc w:val="both"/>
              <w:rPr>
                <w:rFonts w:cstheme="minorHAnsi"/>
                <w:sz w:val="20"/>
                <w:szCs w:val="20"/>
                <w:lang w:val="en-GB" w:eastAsia="ja-JP"/>
              </w:rPr>
            </w:pPr>
          </w:p>
          <w:p w14:paraId="5923812F">
            <w:pPr>
              <w:jc w:val="both"/>
              <w:rPr>
                <w:rFonts w:cstheme="minorHAnsi"/>
                <w:b/>
                <w:sz w:val="20"/>
                <w:szCs w:val="20"/>
                <w:lang w:val="en-GB" w:eastAsia="ja-JP"/>
              </w:rPr>
            </w:pPr>
            <w:r>
              <w:rPr>
                <w:rFonts w:cstheme="minorHAnsi"/>
                <w:b/>
                <w:sz w:val="20"/>
                <w:szCs w:val="20"/>
                <w:lang w:val="en-GB" w:eastAsia="ja-JP"/>
              </w:rPr>
              <w:t>Responsibilities and Deliverables</w:t>
            </w:r>
          </w:p>
          <w:p w14:paraId="11E8FA72">
            <w:pPr>
              <w:ind w:left="432" w:hanging="360"/>
              <w:rPr>
                <w:rFonts w:cstheme="minorHAnsi"/>
                <w:sz w:val="20"/>
                <w:szCs w:val="20"/>
                <w:lang w:val="en-GB" w:eastAsia="ja-JP"/>
              </w:rPr>
            </w:pPr>
            <w:r>
              <w:rPr>
                <w:rFonts w:cstheme="minorHAnsi"/>
                <w:sz w:val="20"/>
                <w:szCs w:val="20"/>
                <w:lang w:val="en-GB" w:eastAsia="ja-JP"/>
              </w:rPr>
              <w:t xml:space="preserve">1)    </w:t>
            </w:r>
            <w:r>
              <w:rPr>
                <w:rFonts w:cstheme="minorHAnsi"/>
                <w:sz w:val="20"/>
                <w:szCs w:val="20"/>
                <w:u w:val="single"/>
                <w:lang w:val="en-GB" w:eastAsia="ja-JP"/>
              </w:rPr>
              <w:t>Preparatory Technical Studies and Reviews (Component A)</w:t>
            </w:r>
            <w:r>
              <w:rPr>
                <w:rFonts w:cstheme="minorHAnsi"/>
                <w:sz w:val="20"/>
                <w:szCs w:val="20"/>
                <w:lang w:val="en-GB" w:eastAsia="ja-JP"/>
              </w:rPr>
              <w:t>: Prepare inputs and support the required analyses/studies, as agreed with the GEF PPG Team Leader, including:</w:t>
            </w:r>
          </w:p>
          <w:p w14:paraId="3A86CFE9">
            <w:pPr>
              <w:pStyle w:val="56"/>
              <w:numPr>
                <w:ilvl w:val="0"/>
                <w:numId w:val="42"/>
              </w:numPr>
              <w:ind w:left="692" w:hanging="274"/>
              <w:rPr>
                <w:rFonts w:cstheme="minorHAnsi"/>
                <w:sz w:val="20"/>
                <w:szCs w:val="20"/>
                <w:lang w:val="en-GB" w:eastAsia="ja-JP"/>
              </w:rPr>
            </w:pPr>
            <w:r>
              <w:rPr>
                <w:rFonts w:cstheme="minorHAnsi"/>
                <w:sz w:val="20"/>
                <w:szCs w:val="20"/>
                <w:lang w:val="en-GB" w:eastAsia="ja-JP"/>
              </w:rPr>
              <w:t xml:space="preserve">Prepare inputs for the baseline/situational analysis on China’s biodiversity-related landscape management planning, operations, institutional coordination and stakeholder engagement processes. This will include analyses of national and provincial policies, plans, and local formulation and implementation of the Territorial </w:t>
            </w:r>
            <w:r>
              <w:rPr>
                <w:rFonts w:cstheme="minorHAnsi"/>
                <w:sz w:val="20"/>
                <w:szCs w:val="20"/>
                <w:lang w:val="en-GB" w:eastAsia="zh-CN"/>
              </w:rPr>
              <w:t>Spatial Planning</w:t>
            </w:r>
            <w:r>
              <w:rPr>
                <w:rFonts w:cstheme="minorHAnsi"/>
                <w:sz w:val="20"/>
                <w:szCs w:val="20"/>
                <w:lang w:val="en-GB" w:eastAsia="ja-JP"/>
              </w:rPr>
              <w:t>; institutional roles and capacity development needs for appropriate landscape management and restoration measures; suitable ecosystem restoration guidelines and approaches, including OECMs; financial mechanisms supporting government and community biodiversity conservation activities;</w:t>
            </w:r>
          </w:p>
          <w:p w14:paraId="17473617">
            <w:pPr>
              <w:pStyle w:val="56"/>
              <w:numPr>
                <w:ilvl w:val="0"/>
                <w:numId w:val="42"/>
              </w:numPr>
              <w:ind w:left="692" w:hanging="274"/>
              <w:rPr>
                <w:rFonts w:cstheme="minorHAnsi"/>
                <w:sz w:val="20"/>
                <w:szCs w:val="20"/>
                <w:lang w:val="en-GB" w:eastAsia="ja-JP"/>
              </w:rPr>
            </w:pPr>
            <w:r>
              <w:rPr>
                <w:rFonts w:cstheme="minorHAnsi"/>
                <w:sz w:val="20"/>
                <w:szCs w:val="20"/>
                <w:lang w:val="en-GB" w:eastAsia="ja-JP"/>
              </w:rPr>
              <w:t>Identify gaps and assess opportunities for improving the landscape management and restoration in China through the restructuring, planning, standards, technical guidelines and methodologies and financial mechanisms governing the biodiversity conservation works in China;</w:t>
            </w:r>
          </w:p>
          <w:p w14:paraId="64DF39FE">
            <w:pPr>
              <w:pStyle w:val="56"/>
              <w:numPr>
                <w:ilvl w:val="0"/>
                <w:numId w:val="42"/>
              </w:numPr>
              <w:ind w:left="692" w:hanging="274"/>
              <w:rPr>
                <w:rFonts w:cstheme="minorHAnsi"/>
                <w:sz w:val="20"/>
                <w:szCs w:val="20"/>
                <w:lang w:val="en-GB" w:eastAsia="ja-JP"/>
              </w:rPr>
            </w:pPr>
            <w:r>
              <w:rPr>
                <w:rFonts w:cstheme="minorHAnsi"/>
                <w:sz w:val="20"/>
                <w:szCs w:val="20"/>
                <w:lang w:val="en-GB" w:eastAsia="ja-JP"/>
              </w:rPr>
              <w:t xml:space="preserve">Identify key training needs for relevant national and provincial natural resource and spatial planning bureaus and institutions, and conduct baseline capacity development scorecards assessments to gauge stakeholder capacity needs for mainstreaming biodiversity conservation in landscape management and planning (coordinating closely with the </w:t>
            </w:r>
            <w:r>
              <w:rPr>
                <w:rFonts w:cstheme="minorHAnsi"/>
                <w:sz w:val="20"/>
                <w:szCs w:val="20"/>
                <w:lang w:val="en-GB"/>
              </w:rPr>
              <w:t xml:space="preserve">National Stakeholder Engagement, Gender and Safeguards Specialist); </w:t>
            </w:r>
          </w:p>
          <w:p w14:paraId="5A670E4F">
            <w:pPr>
              <w:pStyle w:val="56"/>
              <w:numPr>
                <w:ilvl w:val="0"/>
                <w:numId w:val="42"/>
              </w:numPr>
              <w:ind w:left="692" w:hanging="274"/>
              <w:rPr>
                <w:rFonts w:cstheme="minorHAnsi"/>
                <w:sz w:val="20"/>
                <w:szCs w:val="20"/>
                <w:lang w:val="en-GB" w:eastAsia="ja-JP"/>
              </w:rPr>
            </w:pPr>
            <w:r>
              <w:rPr>
                <w:rFonts w:cstheme="minorHAnsi"/>
                <w:sz w:val="20"/>
                <w:szCs w:val="20"/>
                <w:lang w:val="en-GB" w:eastAsia="ja-JP"/>
              </w:rPr>
              <w:t>Identify appropriate Results Framework indicators and targets related to landscape restoration and biodiversity spatial planning; collect baseline data for the relevant indicators (including the GEF Core Indicators); choose the means of measurement; and define targets, key risks, and assumptions linked to these indicators;</w:t>
            </w:r>
          </w:p>
          <w:p w14:paraId="0A8A367E">
            <w:pPr>
              <w:pStyle w:val="56"/>
              <w:numPr>
                <w:ilvl w:val="0"/>
                <w:numId w:val="42"/>
              </w:numPr>
              <w:ind w:left="692" w:hanging="274"/>
              <w:rPr>
                <w:rFonts w:cstheme="minorHAnsi"/>
                <w:sz w:val="20"/>
                <w:szCs w:val="20"/>
                <w:lang w:val="en-GB" w:eastAsia="ja-JP"/>
              </w:rPr>
            </w:pPr>
            <w:r>
              <w:rPr>
                <w:rFonts w:cstheme="minorHAnsi"/>
                <w:sz w:val="20"/>
                <w:szCs w:val="20"/>
                <w:lang w:val="en-GB" w:eastAsia="ja-JP"/>
              </w:rPr>
              <w:t>Support the stakeholder analysis, consultations and co-financing contributions, particularly with national-level stakeholders and private sector, and ensure that they are complete and comprehensive;</w:t>
            </w:r>
          </w:p>
          <w:p w14:paraId="2D079FA1">
            <w:pPr>
              <w:pStyle w:val="56"/>
              <w:numPr>
                <w:ilvl w:val="0"/>
                <w:numId w:val="42"/>
              </w:numPr>
              <w:ind w:left="692" w:hanging="274"/>
              <w:rPr>
                <w:rFonts w:cstheme="minorHAnsi"/>
                <w:sz w:val="20"/>
                <w:szCs w:val="20"/>
                <w:lang w:val="en-GB" w:eastAsia="ja-JP"/>
              </w:rPr>
            </w:pPr>
            <w:r>
              <w:rPr>
                <w:rFonts w:cstheme="minorHAnsi"/>
                <w:sz w:val="20"/>
                <w:szCs w:val="20"/>
                <w:lang w:val="en-GB" w:eastAsia="ja-JP"/>
              </w:rPr>
              <w:t xml:space="preserve">Lead development of the project landscape profile report for project targeted landscapes in Yunnan, </w:t>
            </w:r>
            <w:r>
              <w:rPr>
                <w:rFonts w:cstheme="minorHAnsi"/>
                <w:sz w:val="20"/>
                <w:szCs w:val="20"/>
                <w:lang w:val="en-GB"/>
              </w:rPr>
              <w:t>Sichuan, Jiangsu and Zhejiang Provinces</w:t>
            </w:r>
            <w:r>
              <w:rPr>
                <w:rFonts w:cstheme="minorHAnsi"/>
                <w:sz w:val="20"/>
                <w:szCs w:val="20"/>
                <w:lang w:val="en-GB" w:eastAsia="ja-JP"/>
              </w:rPr>
              <w:t xml:space="preserve">; ecological significance of signature ecosystems and gaps in the current landscape restoration processes and engagements; local activities obstructing or counteracting current/future ecological restoration, e.g., the creation of ecological corridors; baseline initiatives including local government and community related to </w:t>
            </w:r>
            <w:r>
              <w:rPr>
                <w:rFonts w:cstheme="minorHAnsi"/>
                <w:sz w:val="20"/>
                <w:szCs w:val="20"/>
                <w:lang w:val="en-GB" w:eastAsia="zh-CN"/>
              </w:rPr>
              <w:t xml:space="preserve">ecosystem </w:t>
            </w:r>
            <w:r>
              <w:rPr>
                <w:rFonts w:cstheme="minorHAnsi"/>
                <w:sz w:val="20"/>
                <w:szCs w:val="20"/>
                <w:lang w:val="en-GB" w:eastAsia="ja-JP"/>
              </w:rPr>
              <w:t>restoration as well as livelihood/business development in the protected areas; opportunities and priorities for community involvement with a specific reference to ecological products and establishment of close-to-nature business initiatives;</w:t>
            </w:r>
          </w:p>
          <w:p w14:paraId="7BD609A9">
            <w:pPr>
              <w:pStyle w:val="56"/>
              <w:numPr>
                <w:ilvl w:val="0"/>
                <w:numId w:val="42"/>
              </w:numPr>
              <w:ind w:left="692" w:hanging="274"/>
              <w:rPr>
                <w:rFonts w:eastAsia="Calibri" w:cstheme="minorHAnsi"/>
                <w:sz w:val="20"/>
                <w:szCs w:val="20"/>
                <w:lang w:val="en-GB" w:eastAsia="ja-JP"/>
              </w:rPr>
            </w:pPr>
            <w:r>
              <w:rPr>
                <w:sz w:val="20"/>
                <w:szCs w:val="20"/>
                <w:lang w:val="en-GB" w:eastAsia="ja-JP"/>
              </w:rPr>
              <w:t xml:space="preserve">For the selected project areas identify, through analysis, the potential demonstrations and guidelines referring to the </w:t>
            </w:r>
            <w:r>
              <w:rPr>
                <w:rFonts w:eastAsia="Calibri"/>
                <w:color w:val="000000" w:themeColor="text1"/>
                <w:sz w:val="20"/>
                <w:szCs w:val="20"/>
                <w14:textFill>
                  <w14:solidFill>
                    <w14:schemeClr w14:val="tx1"/>
                  </w14:solidFill>
                </w14:textFill>
              </w:rPr>
              <w:t>“</w:t>
            </w:r>
            <w:r>
              <w:rPr>
                <w:rFonts w:eastAsia="Calibri"/>
                <w:sz w:val="20"/>
                <w:szCs w:val="20"/>
              </w:rPr>
              <w:t>Site-level Tool for Identifying Other Effective Area-based Conservation Measures (OECMs) by IUCN</w:t>
            </w:r>
            <w:r>
              <w:rPr>
                <w:rFonts w:eastAsia="Calibri"/>
                <w:color w:val="000000" w:themeColor="text1"/>
                <w:sz w:val="20"/>
                <w:szCs w:val="20"/>
                <w:vertAlign w:val="superscript"/>
                <w14:textFill>
                  <w14:solidFill>
                    <w14:schemeClr w14:val="tx1"/>
                  </w14:solidFill>
                </w14:textFill>
              </w:rPr>
              <w:footnoteReference w:id="5"/>
            </w:r>
          </w:p>
          <w:p w14:paraId="7864B21E">
            <w:pPr>
              <w:pStyle w:val="56"/>
              <w:numPr>
                <w:ilvl w:val="0"/>
                <w:numId w:val="42"/>
              </w:numPr>
              <w:ind w:left="692" w:hanging="274"/>
              <w:rPr>
                <w:rFonts w:cstheme="minorHAnsi"/>
                <w:sz w:val="20"/>
                <w:szCs w:val="20"/>
                <w:lang w:val="en-GB"/>
              </w:rPr>
            </w:pPr>
            <w:r>
              <w:rPr>
                <w:rFonts w:cstheme="minorHAnsi"/>
                <w:sz w:val="20"/>
                <w:szCs w:val="20"/>
                <w:lang w:val="en-GB" w:eastAsia="ja-JP"/>
              </w:rPr>
              <w:t>Determine the projects carbon sequestration benefits and estimate project’s GHG emission using the FAO Ex-Ante Carbon-balance Tool and FAO EX-ACT tool;</w:t>
            </w:r>
          </w:p>
          <w:p w14:paraId="20ADA854">
            <w:pPr>
              <w:pStyle w:val="56"/>
              <w:numPr>
                <w:ilvl w:val="0"/>
                <w:numId w:val="42"/>
              </w:numPr>
              <w:ind w:left="692" w:hanging="274"/>
              <w:rPr>
                <w:rFonts w:cstheme="minorHAnsi"/>
                <w:sz w:val="20"/>
                <w:szCs w:val="20"/>
                <w:lang w:val="en-GB" w:eastAsia="ja-JP"/>
              </w:rPr>
            </w:pPr>
            <w:r>
              <w:rPr>
                <w:sz w:val="20"/>
                <w:szCs w:val="20"/>
              </w:rPr>
              <w:t>Undertake the project’s Climate Screening using the STAP Climate Screening Tool</w:t>
            </w:r>
            <w:r>
              <w:rPr>
                <w:rStyle w:val="32"/>
                <w:sz w:val="20"/>
                <w:szCs w:val="20"/>
              </w:rPr>
              <w:footnoteReference w:id="6"/>
            </w:r>
            <w:r>
              <w:rPr>
                <w:sz w:val="20"/>
                <w:szCs w:val="20"/>
              </w:rPr>
              <w:t>;</w:t>
            </w:r>
          </w:p>
          <w:p w14:paraId="4F56B394">
            <w:pPr>
              <w:pStyle w:val="56"/>
              <w:numPr>
                <w:ilvl w:val="0"/>
                <w:numId w:val="42"/>
              </w:numPr>
              <w:ind w:left="692" w:hanging="274"/>
              <w:rPr>
                <w:rFonts w:cstheme="minorHAnsi"/>
                <w:sz w:val="20"/>
                <w:szCs w:val="20"/>
                <w:lang w:val="en-GB" w:eastAsia="ja-JP"/>
              </w:rPr>
            </w:pPr>
            <w:r>
              <w:rPr>
                <w:rFonts w:cstheme="minorHAnsi"/>
                <w:sz w:val="20"/>
                <w:szCs w:val="20"/>
                <w:lang w:val="en-GB" w:eastAsia="ja-JP"/>
              </w:rPr>
              <w:t>Develop a baseline framework for measuring Knowledge, Attitudes and Practices (KAP) on landscape restoration and biodiversity-related spatial planning among target audiences including local communities, with inputs from other national consultants;</w:t>
            </w:r>
          </w:p>
          <w:p w14:paraId="5DB5B4A1">
            <w:pPr>
              <w:pStyle w:val="56"/>
              <w:numPr>
                <w:ilvl w:val="0"/>
                <w:numId w:val="42"/>
              </w:numPr>
              <w:ind w:left="692" w:hanging="274"/>
              <w:rPr>
                <w:rFonts w:cstheme="minorHAnsi"/>
                <w:sz w:val="20"/>
                <w:szCs w:val="20"/>
                <w:lang w:val="en-GB" w:eastAsia="ja-JP"/>
              </w:rPr>
            </w:pPr>
            <w:r>
              <w:rPr>
                <w:rFonts w:cstheme="minorHAnsi"/>
                <w:sz w:val="20"/>
                <w:szCs w:val="20"/>
                <w:lang w:val="en-GB" w:eastAsia="ja-JP"/>
              </w:rPr>
              <w:t xml:space="preserve">Facilitate the completion of appropriate maps for project landscape and sites, liaising with the provincial and local forestry, water resources, wetlands and natural resources planning bureaus and local academia for provision of the required maps; </w:t>
            </w:r>
          </w:p>
          <w:p w14:paraId="173C3588">
            <w:pPr>
              <w:pStyle w:val="56"/>
              <w:numPr>
                <w:ilvl w:val="0"/>
                <w:numId w:val="42"/>
              </w:numPr>
              <w:ind w:left="692" w:hanging="274"/>
              <w:rPr>
                <w:rFonts w:cstheme="minorHAnsi"/>
                <w:sz w:val="20"/>
                <w:szCs w:val="20"/>
                <w:lang w:val="en-GB" w:eastAsia="ja-JP"/>
              </w:rPr>
            </w:pPr>
            <w:r>
              <w:rPr>
                <w:rFonts w:cstheme="minorHAnsi"/>
                <w:sz w:val="20"/>
                <w:szCs w:val="20"/>
                <w:lang w:val="en-GB" w:eastAsia="ja-JP"/>
              </w:rPr>
              <w:t>Complete baseline and target values for GEF core indicators related to the project sites; and</w:t>
            </w:r>
          </w:p>
          <w:p w14:paraId="52F8C8D7">
            <w:pPr>
              <w:pStyle w:val="56"/>
              <w:numPr>
                <w:ilvl w:val="0"/>
                <w:numId w:val="42"/>
              </w:numPr>
              <w:ind w:left="692" w:hanging="274"/>
              <w:rPr>
                <w:rFonts w:cstheme="minorHAnsi"/>
                <w:sz w:val="20"/>
                <w:szCs w:val="20"/>
                <w:lang w:val="en-GB" w:eastAsia="ja-JP"/>
              </w:rPr>
            </w:pPr>
            <w:r>
              <w:rPr>
                <w:rFonts w:cstheme="minorHAnsi"/>
                <w:sz w:val="20"/>
                <w:szCs w:val="20"/>
                <w:lang w:val="en-GB" w:eastAsia="ja-JP"/>
              </w:rPr>
              <w:t>Support the completion of any additional studies that are determined to be needed for the preparation of the ProDoc and all other final outputs as guided by the PPG Team Leader.</w:t>
            </w:r>
          </w:p>
          <w:p w14:paraId="2D3DCABB">
            <w:pPr>
              <w:pStyle w:val="56"/>
              <w:ind w:left="691"/>
              <w:jc w:val="both"/>
              <w:rPr>
                <w:rFonts w:cstheme="minorHAnsi"/>
                <w:sz w:val="20"/>
                <w:szCs w:val="20"/>
                <w:lang w:val="en-GB" w:eastAsia="zh-CN"/>
              </w:rPr>
            </w:pPr>
          </w:p>
          <w:p w14:paraId="36972D9E">
            <w:pPr>
              <w:ind w:left="432" w:hanging="360"/>
              <w:rPr>
                <w:rFonts w:cstheme="minorHAnsi"/>
                <w:sz w:val="20"/>
                <w:szCs w:val="20"/>
                <w:lang w:val="en-GB" w:eastAsia="ja-JP"/>
              </w:rPr>
            </w:pPr>
            <w:r>
              <w:rPr>
                <w:rFonts w:cstheme="minorHAnsi"/>
                <w:sz w:val="20"/>
                <w:szCs w:val="20"/>
                <w:u w:val="single"/>
                <w:lang w:val="en-GB" w:eastAsia="ja-JP"/>
              </w:rPr>
              <w:t>2) Formulation of the ProDoc, CEO Endorsement Request and Mandatory and Project Specific Annexes (Component B)</w:t>
            </w:r>
            <w:r>
              <w:rPr>
                <w:rFonts w:cstheme="minorHAnsi"/>
                <w:sz w:val="20"/>
                <w:szCs w:val="20"/>
                <w:lang w:val="en-GB" w:eastAsia="ja-JP"/>
              </w:rPr>
              <w:t xml:space="preserve">: </w:t>
            </w:r>
          </w:p>
          <w:p w14:paraId="1547D56E">
            <w:pPr>
              <w:pStyle w:val="56"/>
              <w:numPr>
                <w:ilvl w:val="1"/>
                <w:numId w:val="42"/>
              </w:numPr>
              <w:ind w:left="692" w:hanging="274"/>
              <w:rPr>
                <w:rFonts w:cstheme="minorHAnsi"/>
                <w:sz w:val="20"/>
                <w:szCs w:val="20"/>
                <w:lang w:val="en-GB" w:eastAsia="ja-JP"/>
              </w:rPr>
            </w:pPr>
            <w:r>
              <w:rPr>
                <w:rFonts w:cstheme="minorHAnsi"/>
                <w:sz w:val="20"/>
                <w:szCs w:val="20"/>
                <w:lang w:val="en-GB" w:eastAsia="ja-JP"/>
              </w:rPr>
              <w:t>Provide relevant quality text sections for the ProDoc package (including annexes) on the aspects mentioned above;</w:t>
            </w:r>
          </w:p>
          <w:p w14:paraId="5EC6BDEC">
            <w:pPr>
              <w:pStyle w:val="56"/>
              <w:numPr>
                <w:ilvl w:val="1"/>
                <w:numId w:val="42"/>
              </w:numPr>
              <w:ind w:left="692" w:hanging="274"/>
              <w:rPr>
                <w:rFonts w:cstheme="minorHAnsi"/>
                <w:sz w:val="20"/>
                <w:szCs w:val="20"/>
                <w:lang w:val="en-GB" w:eastAsia="ja-JP"/>
              </w:rPr>
            </w:pPr>
            <w:r>
              <w:rPr>
                <w:rFonts w:cstheme="minorHAnsi"/>
                <w:sz w:val="20"/>
                <w:szCs w:val="20"/>
                <w:lang w:val="en-GB" w:eastAsia="ja-JP"/>
              </w:rPr>
              <w:t>Prepare in consultation with the PPG Team Leader, national consultants and relevant government counterparts, the draft of the supporting activity sets which will enable the achievement of the project outputs;</w:t>
            </w:r>
          </w:p>
          <w:p w14:paraId="4E9F616E">
            <w:pPr>
              <w:pStyle w:val="56"/>
              <w:numPr>
                <w:ilvl w:val="1"/>
                <w:numId w:val="42"/>
              </w:numPr>
              <w:ind w:left="692" w:hanging="274"/>
              <w:rPr>
                <w:rFonts w:cstheme="minorHAnsi"/>
                <w:sz w:val="20"/>
                <w:szCs w:val="20"/>
                <w:lang w:val="en-GB" w:eastAsia="ja-JP"/>
              </w:rPr>
            </w:pPr>
            <w:r>
              <w:rPr>
                <w:rFonts w:cstheme="minorHAnsi"/>
                <w:sz w:val="20"/>
                <w:szCs w:val="20"/>
                <w:lang w:val="en-GB" w:eastAsia="ja-JP"/>
              </w:rPr>
              <w:t>Prepare in consultation with the PPG Team Leader, national consultants and relevant government counterparts, the draft of the project budget;</w:t>
            </w:r>
          </w:p>
          <w:p w14:paraId="2D57C3C0">
            <w:pPr>
              <w:pStyle w:val="56"/>
              <w:numPr>
                <w:ilvl w:val="1"/>
                <w:numId w:val="16"/>
              </w:numPr>
              <w:ind w:left="691" w:hanging="270"/>
              <w:rPr>
                <w:sz w:val="20"/>
                <w:szCs w:val="20"/>
                <w:lang w:val="en-GB" w:eastAsia="ja-JP"/>
              </w:rPr>
            </w:pPr>
            <w:r>
              <w:rPr>
                <w:sz w:val="20"/>
                <w:szCs w:val="20"/>
                <w:lang w:val="en-GB" w:eastAsia="ja-JP"/>
              </w:rPr>
              <w:t xml:space="preserve">Prepare in consultation with the PPG Team Leader, the national consultants and relevant government counterparts, the draft list of consultants and subcontractors needed for the full project and the related TORs. </w:t>
            </w:r>
          </w:p>
          <w:p w14:paraId="7877E532">
            <w:pPr>
              <w:pStyle w:val="56"/>
              <w:numPr>
                <w:ilvl w:val="1"/>
                <w:numId w:val="16"/>
              </w:numPr>
              <w:ind w:left="691" w:hanging="270"/>
              <w:rPr>
                <w:rFonts w:eastAsia="Calibri" w:cstheme="minorHAnsi"/>
                <w:sz w:val="20"/>
                <w:szCs w:val="20"/>
                <w:lang w:val="en-GB"/>
              </w:rPr>
            </w:pPr>
            <w:r>
              <w:rPr>
                <w:rFonts w:eastAsia="Calibri" w:cstheme="minorHAnsi"/>
                <w:sz w:val="20"/>
                <w:szCs w:val="20"/>
                <w:lang w:val="en-GB"/>
              </w:rPr>
              <w:t>Support the resolving of comments and address all feedback as necessary until final GEF CEO Endorsement</w:t>
            </w:r>
          </w:p>
          <w:p w14:paraId="42055D29">
            <w:pPr>
              <w:pStyle w:val="56"/>
              <w:ind w:left="692"/>
              <w:rPr>
                <w:rFonts w:cstheme="minorHAnsi"/>
                <w:sz w:val="20"/>
                <w:szCs w:val="20"/>
                <w:lang w:val="en-GB" w:eastAsia="ja-JP"/>
              </w:rPr>
            </w:pPr>
          </w:p>
          <w:p w14:paraId="62D3D358">
            <w:pPr>
              <w:pStyle w:val="56"/>
              <w:ind w:left="430"/>
              <w:jc w:val="both"/>
              <w:rPr>
                <w:rFonts w:cstheme="minorHAnsi"/>
                <w:sz w:val="20"/>
                <w:szCs w:val="20"/>
                <w:lang w:val="en-GB" w:eastAsia="ja-JP"/>
              </w:rPr>
            </w:pPr>
          </w:p>
          <w:p w14:paraId="735FD4EC">
            <w:pPr>
              <w:ind w:left="432" w:hanging="360"/>
              <w:rPr>
                <w:rFonts w:cstheme="minorHAnsi"/>
                <w:sz w:val="20"/>
                <w:szCs w:val="20"/>
                <w:lang w:val="en-GB" w:eastAsia="ja-JP"/>
              </w:rPr>
            </w:pPr>
            <w:r>
              <w:rPr>
                <w:rFonts w:cstheme="minorHAnsi"/>
                <w:sz w:val="20"/>
                <w:szCs w:val="20"/>
                <w:u w:val="single"/>
                <w:lang w:val="en-GB" w:eastAsia="ja-JP"/>
              </w:rPr>
              <w:t>3) Validation Workshop (Component C)</w:t>
            </w:r>
            <w:r>
              <w:rPr>
                <w:rFonts w:cstheme="minorHAnsi"/>
                <w:sz w:val="20"/>
                <w:szCs w:val="20"/>
                <w:lang w:val="en-GB" w:eastAsia="ja-JP"/>
              </w:rPr>
              <w:t xml:space="preserve">: </w:t>
            </w:r>
          </w:p>
          <w:p w14:paraId="3E784889">
            <w:pPr>
              <w:pStyle w:val="56"/>
              <w:numPr>
                <w:ilvl w:val="1"/>
                <w:numId w:val="43"/>
              </w:numPr>
              <w:ind w:left="692" w:hanging="274"/>
              <w:rPr>
                <w:rFonts w:cstheme="minorHAnsi"/>
                <w:sz w:val="20"/>
                <w:szCs w:val="20"/>
                <w:lang w:val="en-GB" w:eastAsia="ja-JP"/>
              </w:rPr>
            </w:pPr>
            <w:r>
              <w:rPr>
                <w:rFonts w:cstheme="minorHAnsi"/>
                <w:sz w:val="20"/>
                <w:szCs w:val="20"/>
                <w:lang w:val="en-GB" w:eastAsia="ja-JP"/>
              </w:rPr>
              <w:t>Contribute to both the inception and validation workshop;</w:t>
            </w:r>
          </w:p>
          <w:p w14:paraId="4A1B7A45">
            <w:pPr>
              <w:pStyle w:val="56"/>
              <w:numPr>
                <w:ilvl w:val="1"/>
                <w:numId w:val="43"/>
              </w:numPr>
              <w:ind w:left="692" w:hanging="274"/>
              <w:rPr>
                <w:rFonts w:eastAsia="Calibri" w:cstheme="minorHAnsi"/>
                <w:sz w:val="20"/>
                <w:szCs w:val="20"/>
                <w:lang w:val="en-GB"/>
              </w:rPr>
            </w:pPr>
            <w:r>
              <w:rPr>
                <w:rFonts w:cstheme="minorHAnsi"/>
                <w:sz w:val="20"/>
                <w:szCs w:val="20"/>
                <w:lang w:val="en-GB" w:eastAsia="ja-JP"/>
              </w:rPr>
              <w:t>Support all necessary revisions that arise during the workshop, as appropriate;</w:t>
            </w:r>
          </w:p>
          <w:p w14:paraId="51154E61">
            <w:pPr>
              <w:pStyle w:val="56"/>
              <w:numPr>
                <w:ilvl w:val="1"/>
                <w:numId w:val="43"/>
              </w:numPr>
              <w:ind w:left="692" w:hanging="274"/>
              <w:rPr>
                <w:rFonts w:eastAsia="Calibri" w:cstheme="minorHAnsi"/>
                <w:sz w:val="20"/>
                <w:szCs w:val="20"/>
                <w:lang w:val="en-GB"/>
              </w:rPr>
            </w:pPr>
            <w:r>
              <w:rPr>
                <w:rFonts w:eastAsia="Calibri" w:cstheme="minorHAnsi"/>
                <w:sz w:val="20"/>
                <w:szCs w:val="20"/>
                <w:lang w:val="en-GB"/>
              </w:rPr>
              <w:t>Contribute to the completion of both the Inception and the Validation Workshop Reports.</w:t>
            </w:r>
          </w:p>
          <w:p w14:paraId="278391B4">
            <w:pPr>
              <w:pStyle w:val="56"/>
              <w:ind w:left="692" w:hanging="274"/>
              <w:rPr>
                <w:rFonts w:cstheme="minorHAnsi"/>
                <w:sz w:val="20"/>
                <w:szCs w:val="20"/>
                <w:lang w:val="en-GB" w:eastAsia="ja-JP"/>
              </w:rPr>
            </w:pPr>
          </w:p>
          <w:p w14:paraId="7D796960">
            <w:pPr>
              <w:pStyle w:val="56"/>
              <w:ind w:left="692" w:hanging="274"/>
              <w:rPr>
                <w:rFonts w:cstheme="minorHAnsi"/>
                <w:sz w:val="20"/>
                <w:szCs w:val="20"/>
                <w:lang w:val="en-GB" w:eastAsia="ja-JP"/>
              </w:rPr>
            </w:pPr>
          </w:p>
          <w:p w14:paraId="35CC708D">
            <w:pPr>
              <w:ind w:left="432" w:hanging="360"/>
              <w:rPr>
                <w:rFonts w:cstheme="minorHAnsi"/>
                <w:sz w:val="20"/>
                <w:szCs w:val="20"/>
                <w:u w:val="single"/>
                <w:lang w:val="en-GB" w:eastAsia="ja-JP"/>
              </w:rPr>
            </w:pPr>
            <w:r>
              <w:rPr>
                <w:rFonts w:cstheme="minorHAnsi"/>
                <w:sz w:val="20"/>
                <w:szCs w:val="20"/>
                <w:u w:val="single"/>
                <w:lang w:val="en-GB" w:eastAsia="ja-JP"/>
              </w:rPr>
              <w:t>4) Final Deliverables:</w:t>
            </w:r>
          </w:p>
          <w:p w14:paraId="13510EE1">
            <w:pPr>
              <w:pStyle w:val="56"/>
              <w:numPr>
                <w:ilvl w:val="1"/>
                <w:numId w:val="44"/>
              </w:numPr>
              <w:ind w:left="692" w:hanging="274"/>
              <w:rPr>
                <w:rFonts w:cstheme="minorHAnsi"/>
                <w:sz w:val="20"/>
                <w:szCs w:val="20"/>
                <w:lang w:val="en-GB" w:eastAsia="ja-JP"/>
              </w:rPr>
            </w:pPr>
            <w:r>
              <w:rPr>
                <w:rFonts w:cstheme="minorHAnsi"/>
                <w:sz w:val="20"/>
                <w:szCs w:val="20"/>
                <w:lang w:val="en-GB" w:eastAsia="ja-JP"/>
              </w:rPr>
              <w:t>A report on the detailed baseline/situational analysis on China’s biodiversity-related spatial planning policy, technical guidelines, operations, institutional coordination and stakeholder engagement processes along with recommended project interventions under Component 1 (</w:t>
            </w:r>
            <w:r>
              <w:rPr>
                <w:rFonts w:eastAsia="DengXian" w:cstheme="minorHAnsi"/>
                <w:bCs/>
                <w:sz w:val="20"/>
                <w:szCs w:val="20"/>
                <w:lang w:val="en-GB" w:eastAsia="zh-CN"/>
              </w:rPr>
              <w:t>National, Provincial and Local Policies and Mechanisms Update</w:t>
            </w:r>
            <w:r>
              <w:rPr>
                <w:rFonts w:cstheme="minorHAnsi"/>
                <w:sz w:val="20"/>
                <w:szCs w:val="20"/>
                <w:lang w:val="en-GB" w:eastAsia="ja-JP"/>
              </w:rPr>
              <w:t>) Component 2 (Landscape Management, Spatial Planning and Habitat Restoration</w:t>
            </w:r>
            <w:r>
              <w:rPr>
                <w:rFonts w:cstheme="minorHAnsi"/>
                <w:sz w:val="20"/>
                <w:szCs w:val="20"/>
                <w:lang w:val="en-GB"/>
              </w:rPr>
              <w:t>) and Component 3 (</w:t>
            </w:r>
            <w:r>
              <w:rPr>
                <w:rFonts w:cstheme="minorHAnsi"/>
                <w:color w:val="000000" w:themeColor="text1"/>
                <w:sz w:val="20"/>
                <w:szCs w:val="20"/>
                <w:lang w:val="en-GB"/>
                <w14:textFill>
                  <w14:solidFill>
                    <w14:schemeClr w14:val="tx1"/>
                  </w14:solidFill>
                </w14:textFill>
              </w:rPr>
              <w:t>Biodiversity Policies, Technical Methods/Standards</w:t>
            </w:r>
            <w:r>
              <w:rPr>
                <w:rFonts w:cstheme="minorHAnsi"/>
                <w:sz w:val="20"/>
                <w:szCs w:val="20"/>
                <w:lang w:val="en-GB" w:eastAsia="ja-JP"/>
              </w:rPr>
              <w:t>)  and Component 4 (</w:t>
            </w:r>
            <w:r>
              <w:rPr>
                <w:rFonts w:cstheme="minorHAnsi"/>
                <w:sz w:val="20"/>
                <w:szCs w:val="20"/>
              </w:rPr>
              <w:t>Raise Awareness, Knowledge Management, and M&amp;E</w:t>
            </w:r>
            <w:r>
              <w:rPr>
                <w:rFonts w:cstheme="minorHAnsi"/>
                <w:sz w:val="20"/>
                <w:szCs w:val="20"/>
                <w:lang w:val="en-GB" w:eastAsia="ja-JP"/>
              </w:rPr>
              <w:t>) responding to the baseline analysis;</w:t>
            </w:r>
          </w:p>
          <w:p w14:paraId="3A599775">
            <w:pPr>
              <w:pStyle w:val="56"/>
              <w:numPr>
                <w:ilvl w:val="1"/>
                <w:numId w:val="44"/>
              </w:numPr>
              <w:ind w:left="692" w:hanging="274"/>
              <w:rPr>
                <w:rFonts w:cstheme="minorHAnsi"/>
                <w:sz w:val="20"/>
                <w:szCs w:val="20"/>
                <w:lang w:val="en-GB" w:eastAsia="ja-JP"/>
              </w:rPr>
            </w:pPr>
            <w:r>
              <w:rPr>
                <w:rFonts w:cstheme="minorHAnsi"/>
                <w:sz w:val="20"/>
                <w:szCs w:val="20"/>
                <w:lang w:val="en-GB" w:eastAsia="ja-JP"/>
              </w:rPr>
              <w:t>Draft of the underlying activities needed for achieving project outputs under the project components, as well as draft budget and suggested list of needed project consultants and sub-contractors;</w:t>
            </w:r>
          </w:p>
          <w:p w14:paraId="52824378">
            <w:pPr>
              <w:pStyle w:val="56"/>
              <w:numPr>
                <w:ilvl w:val="1"/>
                <w:numId w:val="44"/>
              </w:numPr>
              <w:ind w:left="692" w:hanging="274"/>
              <w:rPr>
                <w:rFonts w:cstheme="minorHAnsi"/>
                <w:sz w:val="20"/>
                <w:szCs w:val="20"/>
                <w:lang w:val="en-GB" w:eastAsia="ja-JP"/>
              </w:rPr>
            </w:pPr>
            <w:r>
              <w:rPr>
                <w:rFonts w:cstheme="minorHAnsi"/>
                <w:sz w:val="20"/>
                <w:szCs w:val="20"/>
                <w:lang w:val="en-GB" w:eastAsia="ja-JP"/>
              </w:rPr>
              <w:t xml:space="preserve">Baseline capacity development scorecards of relevant national and provincial institutions engaged in the implementation of natural resources spatial planning; </w:t>
            </w:r>
          </w:p>
          <w:p w14:paraId="22F4EB7E">
            <w:pPr>
              <w:pStyle w:val="56"/>
              <w:numPr>
                <w:ilvl w:val="1"/>
                <w:numId w:val="44"/>
              </w:numPr>
              <w:ind w:left="692" w:hanging="274"/>
              <w:rPr>
                <w:rFonts w:cstheme="minorHAnsi"/>
                <w:sz w:val="20"/>
                <w:szCs w:val="20"/>
                <w:lang w:val="en-GB" w:eastAsia="ja-JP"/>
              </w:rPr>
            </w:pPr>
            <w:r>
              <w:rPr>
                <w:rFonts w:cstheme="minorHAnsi"/>
                <w:sz w:val="20"/>
                <w:szCs w:val="20"/>
                <w:lang w:val="en-GB" w:eastAsia="ja-JP"/>
              </w:rPr>
              <w:t xml:space="preserve">A detailed landscape profile report for the project targeted areas in </w:t>
            </w:r>
            <w:r>
              <w:rPr>
                <w:rFonts w:cstheme="minorHAnsi"/>
                <w:sz w:val="20"/>
                <w:szCs w:val="20"/>
                <w:lang w:val="en-GB"/>
              </w:rPr>
              <w:t>Yunnan, Sichuan, Jiangsu and Zhejiang Provinces</w:t>
            </w:r>
            <w:r>
              <w:rPr>
                <w:rFonts w:cstheme="minorHAnsi"/>
                <w:sz w:val="20"/>
                <w:szCs w:val="20"/>
                <w:lang w:val="en-GB" w:eastAsia="ja-JP"/>
              </w:rPr>
              <w:t>, including ecological significance of signature ecosystems and the threats/impacts towards these, baseline activities, project site-based and landscape interventions for ecological r</w:t>
            </w:r>
            <w:r>
              <w:rPr>
                <w:rFonts w:cstheme="minorHAnsi"/>
                <w:sz w:val="20"/>
                <w:szCs w:val="20"/>
                <w:lang w:val="en-GB"/>
              </w:rPr>
              <w:t>estoration</w:t>
            </w:r>
            <w:r>
              <w:rPr>
                <w:rFonts w:cstheme="minorHAnsi"/>
                <w:sz w:val="20"/>
                <w:szCs w:val="20"/>
                <w:lang w:val="en-GB" w:eastAsia="ja-JP"/>
              </w:rPr>
              <w:t>, and project site maps (to be obtained from government or academia);</w:t>
            </w:r>
          </w:p>
          <w:p w14:paraId="0CCC9081">
            <w:pPr>
              <w:pStyle w:val="56"/>
              <w:numPr>
                <w:ilvl w:val="1"/>
                <w:numId w:val="44"/>
              </w:numPr>
              <w:ind w:left="692" w:hanging="274"/>
              <w:rPr>
                <w:rFonts w:cstheme="minorHAnsi"/>
                <w:sz w:val="20"/>
                <w:szCs w:val="20"/>
                <w:lang w:val="en-GB" w:eastAsia="ja-JP"/>
              </w:rPr>
            </w:pPr>
            <w:r>
              <w:rPr>
                <w:rFonts w:cstheme="minorHAnsi"/>
                <w:sz w:val="20"/>
                <w:szCs w:val="20"/>
                <w:lang w:val="en-GB" w:eastAsia="ja-JP"/>
              </w:rPr>
              <w:t>FAO Ex-Ante Carbon-balance Tool and FAO EX-ACT tool calculations for GHG emission and carbon sequestration benefits;</w:t>
            </w:r>
          </w:p>
          <w:p w14:paraId="37E0A388">
            <w:pPr>
              <w:pStyle w:val="56"/>
              <w:numPr>
                <w:ilvl w:val="1"/>
                <w:numId w:val="44"/>
              </w:numPr>
              <w:ind w:left="692" w:hanging="274"/>
              <w:rPr>
                <w:rFonts w:cstheme="minorHAnsi"/>
                <w:sz w:val="20"/>
                <w:szCs w:val="20"/>
                <w:lang w:val="en-GB" w:eastAsia="ja-JP"/>
              </w:rPr>
            </w:pPr>
            <w:r>
              <w:rPr>
                <w:rFonts w:cstheme="minorHAnsi"/>
                <w:sz w:val="20"/>
                <w:szCs w:val="20"/>
                <w:lang w:val="en-GB" w:eastAsia="ja-JP"/>
              </w:rPr>
              <w:t>Knowledge, Attitudes, Practices (KAP) framework; and</w:t>
            </w:r>
          </w:p>
          <w:p w14:paraId="5BD3DDA6">
            <w:pPr>
              <w:pStyle w:val="56"/>
              <w:numPr>
                <w:ilvl w:val="1"/>
                <w:numId w:val="44"/>
              </w:numPr>
              <w:ind w:left="692" w:hanging="274"/>
              <w:rPr>
                <w:rFonts w:cstheme="minorHAnsi"/>
                <w:lang w:val="en-AU"/>
              </w:rPr>
            </w:pPr>
            <w:r>
              <w:rPr>
                <w:rFonts w:cstheme="minorHAnsi"/>
                <w:sz w:val="20"/>
                <w:szCs w:val="20"/>
                <w:lang w:val="en-GB" w:eastAsia="ja-JP"/>
              </w:rPr>
              <w:t>Additional appropriate inputs provided to the Project Document and Annexes, as agreed with PPG Team Leader;</w:t>
            </w:r>
          </w:p>
          <w:p w14:paraId="704BF9C9">
            <w:pPr>
              <w:pStyle w:val="56"/>
              <w:numPr>
                <w:ilvl w:val="1"/>
                <w:numId w:val="44"/>
              </w:numPr>
              <w:ind w:left="692" w:hanging="274"/>
              <w:rPr>
                <w:rFonts w:cstheme="minorHAnsi"/>
                <w:lang w:val="en-AU"/>
              </w:rPr>
            </w:pPr>
            <w:r>
              <w:rPr>
                <w:rFonts w:eastAsia="Calibri" w:cstheme="minorHAnsi"/>
                <w:color w:val="000000" w:themeColor="text1"/>
                <w:sz w:val="20"/>
                <w:szCs w:val="20"/>
                <w:lang w:val="en-GB"/>
                <w14:textFill>
                  <w14:solidFill>
                    <w14:schemeClr w14:val="tx1"/>
                  </w14:solidFill>
                </w14:textFill>
              </w:rPr>
              <w:t xml:space="preserve">Upon request from the UNDP </w:t>
            </w:r>
            <w:r>
              <w:rPr>
                <w:rFonts w:eastAsia="Calibri" w:cstheme="minorHAnsi"/>
                <w:color w:val="000000" w:themeColor="text1"/>
                <w:sz w:val="20"/>
                <w:szCs w:val="20"/>
                <w:lang w:val="en-AU"/>
                <w14:textFill>
                  <w14:solidFill>
                    <w14:schemeClr w14:val="tx1"/>
                  </w14:solidFill>
                </w14:textFill>
              </w:rPr>
              <w:t>Regional Technical Adviser/Regional Technical Specialist during the PPG implementation, the PPG team may be required to prepare additional annexes.</w:t>
            </w:r>
          </w:p>
          <w:p w14:paraId="7A8F0967">
            <w:pPr>
              <w:pStyle w:val="56"/>
              <w:ind w:left="691"/>
              <w:jc w:val="both"/>
              <w:rPr>
                <w:rFonts w:cstheme="minorHAnsi"/>
                <w:sz w:val="20"/>
                <w:szCs w:val="20"/>
                <w:lang w:val="en-GB" w:eastAsia="ja-JP"/>
              </w:rPr>
            </w:pPr>
          </w:p>
          <w:p w14:paraId="5C68BEF5">
            <w:pPr>
              <w:jc w:val="both"/>
              <w:rPr>
                <w:rFonts w:cstheme="minorHAnsi"/>
                <w:b/>
                <w:sz w:val="20"/>
                <w:szCs w:val="20"/>
                <w:lang w:val="en-GB" w:eastAsia="ja-JP"/>
              </w:rPr>
            </w:pPr>
            <w:r>
              <w:rPr>
                <w:rFonts w:cstheme="minorHAnsi"/>
                <w:b/>
                <w:sz w:val="20"/>
                <w:szCs w:val="20"/>
                <w:lang w:val="en-GB" w:eastAsia="ja-JP"/>
              </w:rPr>
              <w:t>Qualifications</w:t>
            </w:r>
          </w:p>
          <w:p w14:paraId="3972B7AA">
            <w:pPr>
              <w:pStyle w:val="56"/>
              <w:numPr>
                <w:ilvl w:val="0"/>
                <w:numId w:val="45"/>
              </w:numPr>
              <w:rPr>
                <w:rFonts w:cstheme="minorHAnsi"/>
                <w:sz w:val="20"/>
                <w:szCs w:val="20"/>
                <w:lang w:val="en-GB" w:eastAsia="ja-JP"/>
              </w:rPr>
            </w:pPr>
            <w:r>
              <w:rPr>
                <w:rFonts w:cstheme="minorHAnsi"/>
                <w:sz w:val="20"/>
                <w:szCs w:val="20"/>
                <w:lang w:val="en-GB" w:eastAsia="ja-JP"/>
              </w:rPr>
              <w:t>Master’s degree or higher in a relevant field, such as nature conservation, natural resource management, environmental planning, landscape ecology, environmental policy and management, or other related fields;</w:t>
            </w:r>
          </w:p>
          <w:p w14:paraId="00FCB580">
            <w:pPr>
              <w:pStyle w:val="56"/>
              <w:numPr>
                <w:ilvl w:val="0"/>
                <w:numId w:val="45"/>
              </w:numPr>
              <w:rPr>
                <w:rFonts w:cstheme="minorHAnsi"/>
                <w:sz w:val="20"/>
                <w:szCs w:val="20"/>
                <w:lang w:val="en-GB" w:eastAsia="ja-JP"/>
              </w:rPr>
            </w:pPr>
            <w:r>
              <w:rPr>
                <w:rFonts w:cstheme="minorHAnsi"/>
                <w:sz w:val="20"/>
                <w:szCs w:val="20"/>
                <w:lang w:val="en-GB" w:eastAsia="ja-JP"/>
              </w:rPr>
              <w:t xml:space="preserve">Minimum </w:t>
            </w:r>
            <w:r>
              <w:rPr>
                <w:rFonts w:cstheme="minorHAnsi"/>
                <w:sz w:val="20"/>
                <w:szCs w:val="20"/>
                <w:lang w:val="en-GB" w:eastAsia="zh-CN"/>
              </w:rPr>
              <w:t>20</w:t>
            </w:r>
            <w:r>
              <w:rPr>
                <w:rFonts w:cstheme="minorHAnsi"/>
                <w:sz w:val="20"/>
                <w:szCs w:val="20"/>
                <w:lang w:val="en-GB"/>
              </w:rPr>
              <w:t xml:space="preserve"> years of demonstrable experience in the technical area of sustainable resource management, </w:t>
            </w:r>
            <w:r>
              <w:rPr>
                <w:rFonts w:cstheme="minorHAnsi"/>
                <w:sz w:val="20"/>
                <w:szCs w:val="20"/>
                <w:lang w:val="en-GB" w:eastAsia="zh-CN"/>
              </w:rPr>
              <w:t>landscape</w:t>
            </w:r>
            <w:r>
              <w:rPr>
                <w:rFonts w:cstheme="minorHAnsi"/>
                <w:sz w:val="20"/>
                <w:szCs w:val="20"/>
                <w:lang w:val="en-GB"/>
              </w:rPr>
              <w:t xml:space="preserve"> and integrated biodiversity management </w:t>
            </w:r>
            <w:r>
              <w:rPr>
                <w:rFonts w:cstheme="minorHAnsi"/>
                <w:sz w:val="20"/>
                <w:szCs w:val="20"/>
                <w:lang w:val="en-GB" w:eastAsia="ja-JP"/>
              </w:rPr>
              <w:t>with relevant experience in restoration of protected areas in China;</w:t>
            </w:r>
          </w:p>
          <w:p w14:paraId="79CBA093">
            <w:pPr>
              <w:pStyle w:val="56"/>
              <w:numPr>
                <w:ilvl w:val="0"/>
                <w:numId w:val="45"/>
              </w:numPr>
              <w:rPr>
                <w:rFonts w:cstheme="minorHAnsi"/>
                <w:sz w:val="20"/>
                <w:szCs w:val="20"/>
                <w:lang w:val="en-GB" w:eastAsia="ja-JP"/>
              </w:rPr>
            </w:pPr>
            <w:r>
              <w:rPr>
                <w:rFonts w:cstheme="minorHAnsi"/>
                <w:sz w:val="20"/>
                <w:szCs w:val="20"/>
                <w:lang w:val="en-GB" w:eastAsia="ja-JP"/>
              </w:rPr>
              <w:t>Demonstrated understanding of political, legal and institutional context and priorities for territorial spatial planning and ecological restoration in China;</w:t>
            </w:r>
          </w:p>
          <w:p w14:paraId="13DC26A3">
            <w:pPr>
              <w:numPr>
                <w:ilvl w:val="0"/>
                <w:numId w:val="45"/>
              </w:numPr>
              <w:rPr>
                <w:rFonts w:cstheme="minorHAnsi"/>
                <w:sz w:val="20"/>
                <w:szCs w:val="20"/>
                <w:lang w:val="en-GB" w:eastAsia="ja-JP"/>
              </w:rPr>
            </w:pPr>
            <w:r>
              <w:rPr>
                <w:rFonts w:cstheme="minorHAnsi"/>
                <w:sz w:val="20"/>
                <w:szCs w:val="20"/>
                <w:lang w:val="en-GB" w:eastAsia="ja-JP"/>
              </w:rPr>
              <w:t xml:space="preserve">Demonstrated understanding of political, legal and institutional context for </w:t>
            </w:r>
            <w:r>
              <w:rPr>
                <w:rFonts w:cstheme="minorHAnsi"/>
                <w:sz w:val="20"/>
                <w:szCs w:val="20"/>
                <w:lang w:val="en-GB" w:eastAsia="zh-CN"/>
              </w:rPr>
              <w:t xml:space="preserve">ecological </w:t>
            </w:r>
            <w:r>
              <w:rPr>
                <w:rFonts w:cstheme="minorHAnsi"/>
                <w:sz w:val="20"/>
                <w:szCs w:val="20"/>
                <w:lang w:val="en-GB" w:eastAsia="ja-JP"/>
              </w:rPr>
              <w:t>restoration in China and their implication for effective community involvement;</w:t>
            </w:r>
          </w:p>
          <w:p w14:paraId="4A79917B">
            <w:pPr>
              <w:numPr>
                <w:ilvl w:val="0"/>
                <w:numId w:val="45"/>
              </w:numPr>
              <w:rPr>
                <w:rFonts w:cstheme="minorHAnsi"/>
                <w:sz w:val="20"/>
                <w:szCs w:val="20"/>
                <w:lang w:val="en-GB" w:eastAsia="ja-JP"/>
              </w:rPr>
            </w:pPr>
            <w:r>
              <w:rPr>
                <w:rFonts w:cstheme="minorHAnsi"/>
                <w:sz w:val="20"/>
                <w:szCs w:val="20"/>
                <w:lang w:val="en-GB" w:eastAsia="zh-CN"/>
              </w:rPr>
              <w:t>Experienced in developing of national and sector standards for ecological restoration in China; Experienced in drafting national planning of Major Projects of Conservation and Restoration of Nationwide Key Ecosystems (2021-2035);</w:t>
            </w:r>
          </w:p>
          <w:p w14:paraId="7FC2E432">
            <w:pPr>
              <w:numPr>
                <w:ilvl w:val="0"/>
                <w:numId w:val="45"/>
              </w:numPr>
              <w:rPr>
                <w:rFonts w:cstheme="minorHAnsi"/>
                <w:sz w:val="20"/>
                <w:szCs w:val="20"/>
                <w:lang w:val="en-GB" w:eastAsia="ja-JP"/>
              </w:rPr>
            </w:pPr>
            <w:r>
              <w:rPr>
                <w:rFonts w:cstheme="minorHAnsi"/>
                <w:sz w:val="20"/>
                <w:szCs w:val="20"/>
                <w:lang w:val="en-GB" w:eastAsia="ja-JP"/>
              </w:rPr>
              <w:t xml:space="preserve">Experience using Ex-Ante Carbon-balance and EX-ACT Tool to estimate carbon emission and sequestered by the project; </w:t>
            </w:r>
          </w:p>
          <w:p w14:paraId="72B96013">
            <w:pPr>
              <w:numPr>
                <w:ilvl w:val="0"/>
                <w:numId w:val="45"/>
              </w:numPr>
              <w:rPr>
                <w:rFonts w:cstheme="minorHAnsi"/>
                <w:sz w:val="20"/>
                <w:szCs w:val="20"/>
                <w:lang w:val="en-GB" w:eastAsia="ja-JP"/>
              </w:rPr>
            </w:pPr>
            <w:r>
              <w:rPr>
                <w:rFonts w:cstheme="minorHAnsi"/>
                <w:sz w:val="20"/>
                <w:szCs w:val="20"/>
                <w:lang w:val="en-GB" w:eastAsia="ja-JP"/>
              </w:rPr>
              <w:t>Experience developing UNDP Capacity Scorecard and KAP baseline;</w:t>
            </w:r>
          </w:p>
          <w:p w14:paraId="5775BC57">
            <w:pPr>
              <w:pStyle w:val="56"/>
              <w:numPr>
                <w:ilvl w:val="0"/>
                <w:numId w:val="45"/>
              </w:numPr>
              <w:rPr>
                <w:rFonts w:cstheme="minorHAnsi"/>
                <w:sz w:val="20"/>
                <w:szCs w:val="20"/>
                <w:lang w:val="en-GB" w:eastAsia="ja-JP"/>
              </w:rPr>
            </w:pPr>
            <w:r>
              <w:rPr>
                <w:rFonts w:cstheme="minorHAnsi"/>
                <w:sz w:val="20"/>
                <w:szCs w:val="20"/>
                <w:lang w:val="en-GB" w:eastAsia="ja-JP"/>
              </w:rPr>
              <w:t>Experience working with UNDP and/or on GEF projects an advantage; and</w:t>
            </w:r>
          </w:p>
          <w:p w14:paraId="5FBC5031">
            <w:pPr>
              <w:pStyle w:val="56"/>
              <w:numPr>
                <w:ilvl w:val="0"/>
                <w:numId w:val="45"/>
              </w:numPr>
              <w:rPr>
                <w:rFonts w:cstheme="minorHAnsi"/>
                <w:sz w:val="20"/>
                <w:szCs w:val="20"/>
                <w:lang w:val="en-GB" w:eastAsia="ja-JP"/>
              </w:rPr>
            </w:pPr>
            <w:r>
              <w:rPr>
                <w:rFonts w:cstheme="minorHAnsi"/>
                <w:sz w:val="20"/>
                <w:szCs w:val="20"/>
                <w:lang w:val="en-GB" w:eastAsia="ja-JP"/>
              </w:rPr>
              <w:t>Excellent written and oral communication skills in English and fluency in Chinese.</w:t>
            </w:r>
          </w:p>
        </w:tc>
      </w:tr>
      <w:tr w14:paraId="6F6C36B2">
        <w:trPr>
          <w:trHeight w:val="300" w:hRule="atLeast"/>
        </w:trPr>
        <w:tc>
          <w:tcPr>
            <w:tcW w:w="1673" w:type="dxa"/>
            <w:tcBorders>
              <w:top w:val="single" w:color="auto" w:sz="8" w:space="0"/>
              <w:left w:val="single" w:color="auto" w:sz="8" w:space="0"/>
              <w:bottom w:val="single" w:color="auto" w:sz="8" w:space="0"/>
              <w:right w:val="single" w:color="auto" w:sz="8" w:space="0"/>
            </w:tcBorders>
            <w:tcMar>
              <w:left w:w="108" w:type="dxa"/>
              <w:right w:w="108" w:type="dxa"/>
            </w:tcMar>
          </w:tcPr>
          <w:p w14:paraId="0F1C6BE8">
            <w:pPr>
              <w:pStyle w:val="56"/>
              <w:ind w:left="199" w:hanging="199"/>
              <w:rPr>
                <w:rFonts w:eastAsia="Calibri" w:cstheme="minorHAnsi"/>
                <w:sz w:val="20"/>
                <w:szCs w:val="20"/>
                <w:lang w:val="en-GB"/>
              </w:rPr>
            </w:pPr>
            <w:r>
              <w:rPr>
                <w:rFonts w:eastAsia="Calibri" w:cstheme="minorHAnsi"/>
                <w:b/>
                <w:bCs/>
                <w:sz w:val="20"/>
                <w:szCs w:val="20"/>
                <w:lang w:val="en-GB"/>
              </w:rPr>
              <w:t xml:space="preserve">Position: </w:t>
            </w:r>
          </w:p>
          <w:p w14:paraId="39D5673C">
            <w:pPr>
              <w:pStyle w:val="56"/>
              <w:ind w:left="0"/>
              <w:rPr>
                <w:rFonts w:eastAsia="Calibri" w:cstheme="minorHAnsi"/>
                <w:sz w:val="20"/>
                <w:szCs w:val="20"/>
                <w:lang w:val="en-GB"/>
              </w:rPr>
            </w:pPr>
            <w:r>
              <w:rPr>
                <w:rFonts w:eastAsia="Calibri" w:cstheme="minorHAnsi"/>
                <w:sz w:val="20"/>
                <w:szCs w:val="20"/>
                <w:lang w:val="en-GB"/>
              </w:rPr>
              <w:t>National Coordinator</w:t>
            </w:r>
          </w:p>
          <w:p w14:paraId="04076BBC">
            <w:pPr>
              <w:rPr>
                <w:rFonts w:eastAsia="Calibri" w:cstheme="minorHAnsi"/>
                <w:sz w:val="20"/>
                <w:szCs w:val="20"/>
                <w:lang w:val="en-GB"/>
              </w:rPr>
            </w:pPr>
            <w:r>
              <w:rPr>
                <w:rFonts w:eastAsia="Calibri" w:cstheme="minorHAnsi"/>
                <w:sz w:val="20"/>
                <w:szCs w:val="20"/>
                <w:lang w:val="en-GB"/>
              </w:rPr>
              <w:t xml:space="preserve"> </w:t>
            </w:r>
          </w:p>
          <w:p w14:paraId="408EB090">
            <w:pPr>
              <w:rPr>
                <w:rFonts w:eastAsia="Calibri" w:cstheme="minorHAnsi"/>
                <w:sz w:val="20"/>
                <w:szCs w:val="20"/>
                <w:lang w:val="en-GB"/>
              </w:rPr>
            </w:pPr>
            <w:r>
              <w:rPr>
                <w:rFonts w:eastAsia="Calibri" w:cstheme="minorHAnsi"/>
                <w:b/>
                <w:bCs/>
                <w:sz w:val="20"/>
                <w:szCs w:val="20"/>
                <w:lang w:val="en-GB"/>
              </w:rPr>
              <w:t>Type:</w:t>
            </w:r>
            <w:r>
              <w:rPr>
                <w:rFonts w:eastAsia="Calibri" w:cstheme="minorHAnsi"/>
                <w:sz w:val="20"/>
                <w:szCs w:val="20"/>
                <w:lang w:val="en-GB"/>
              </w:rPr>
              <w:t xml:space="preserve"> National Personnel Service Agreement (NPSA 4, 33% engagement)</w:t>
            </w:r>
          </w:p>
          <w:p w14:paraId="5CB2CF90">
            <w:pPr>
              <w:rPr>
                <w:rFonts w:eastAsia="Calibri" w:cstheme="minorHAnsi"/>
                <w:sz w:val="20"/>
                <w:szCs w:val="20"/>
                <w:lang w:val="en-GB"/>
              </w:rPr>
            </w:pPr>
            <w:r>
              <w:rPr>
                <w:rFonts w:eastAsia="Calibri" w:cstheme="minorHAnsi"/>
                <w:sz w:val="20"/>
                <w:szCs w:val="20"/>
                <w:lang w:val="en-GB"/>
              </w:rPr>
              <w:t xml:space="preserve"> </w:t>
            </w:r>
          </w:p>
          <w:p w14:paraId="604CCDA1">
            <w:pPr>
              <w:rPr>
                <w:rFonts w:eastAsia="Calibri" w:cstheme="minorHAnsi"/>
                <w:b/>
                <w:bCs/>
                <w:sz w:val="20"/>
                <w:szCs w:val="20"/>
                <w:lang w:val="en-GB"/>
              </w:rPr>
            </w:pPr>
            <w:r>
              <w:rPr>
                <w:rFonts w:eastAsia="Calibri" w:cstheme="minorHAnsi"/>
                <w:b/>
                <w:bCs/>
                <w:sz w:val="20"/>
                <w:szCs w:val="20"/>
                <w:lang w:val="en-GB" w:eastAsia="ja-JP"/>
              </w:rPr>
              <w:t>Cost</w:t>
            </w:r>
            <w:r>
              <w:rPr>
                <w:rFonts w:eastAsia="Calibri" w:cstheme="minorHAnsi"/>
                <w:b/>
                <w:sz w:val="20"/>
                <w:szCs w:val="20"/>
                <w:lang w:val="en-GB" w:eastAsia="ja-JP"/>
              </w:rPr>
              <w:t xml:space="preserve"> per person</w:t>
            </w:r>
            <w:r>
              <w:rPr>
                <w:rFonts w:eastAsia="Calibri" w:cstheme="minorHAnsi"/>
                <w:b/>
                <w:bCs/>
                <w:sz w:val="20"/>
                <w:szCs w:val="20"/>
                <w:lang w:val="en-GB" w:eastAsia="ja-JP"/>
              </w:rPr>
              <w:t xml:space="preserve">-week: </w:t>
            </w:r>
            <w:r>
              <w:rPr>
                <w:rFonts w:eastAsia="Calibri" w:cstheme="minorHAnsi"/>
                <w:sz w:val="20"/>
                <w:szCs w:val="20"/>
                <w:lang w:val="en-GB" w:eastAsia="ja-JP"/>
              </w:rPr>
              <w:t>$</w:t>
            </w:r>
            <w:r>
              <w:rPr>
                <w:rFonts w:eastAsia="Calibri" w:cstheme="minorHAnsi"/>
                <w:sz w:val="20"/>
                <w:szCs w:val="20"/>
                <w:lang w:val="en-GB"/>
              </w:rPr>
              <w:t xml:space="preserve"> 1,300</w:t>
            </w:r>
          </w:p>
          <w:p w14:paraId="59440677">
            <w:pPr>
              <w:rPr>
                <w:rFonts w:eastAsia="Calibri" w:cstheme="minorHAnsi"/>
                <w:sz w:val="20"/>
                <w:szCs w:val="20"/>
                <w:lang w:val="en-GB"/>
              </w:rPr>
            </w:pPr>
            <w:r>
              <w:rPr>
                <w:rFonts w:eastAsia="Calibri" w:cstheme="minorHAnsi"/>
                <w:sz w:val="20"/>
                <w:szCs w:val="20"/>
                <w:lang w:val="en-GB"/>
              </w:rPr>
              <w:t xml:space="preserve"> </w:t>
            </w:r>
          </w:p>
          <w:p w14:paraId="4A4492DD">
            <w:pPr>
              <w:rPr>
                <w:rFonts w:eastAsia="Calibri" w:cstheme="minorHAnsi"/>
                <w:sz w:val="20"/>
                <w:szCs w:val="20"/>
                <w:lang w:val="en-GB"/>
              </w:rPr>
            </w:pPr>
            <w:r>
              <w:rPr>
                <w:rFonts w:eastAsia="Calibri" w:cstheme="minorHAnsi"/>
                <w:b/>
                <w:bCs/>
                <w:sz w:val="20"/>
                <w:szCs w:val="20"/>
                <w:lang w:val="en-GB"/>
              </w:rPr>
              <w:t xml:space="preserve"> Number of person-weeks needed:</w:t>
            </w:r>
            <w:r>
              <w:rPr>
                <w:rFonts w:eastAsia="Calibri" w:cstheme="minorHAnsi"/>
                <w:sz w:val="20"/>
                <w:szCs w:val="20"/>
                <w:lang w:val="en-GB"/>
              </w:rPr>
              <w:t xml:space="preserve"> 17 </w:t>
            </w:r>
          </w:p>
          <w:p w14:paraId="5B7A1E11">
            <w:pPr>
              <w:rPr>
                <w:rFonts w:eastAsia="Calibri" w:cstheme="minorHAnsi"/>
                <w:sz w:val="20"/>
                <w:szCs w:val="20"/>
                <w:lang w:val="en-GB"/>
              </w:rPr>
            </w:pPr>
            <w:r>
              <w:rPr>
                <w:rFonts w:eastAsia="Calibri" w:cstheme="minorHAnsi"/>
                <w:sz w:val="20"/>
                <w:szCs w:val="20"/>
                <w:lang w:val="en-GB"/>
              </w:rPr>
              <w:t xml:space="preserve"> </w:t>
            </w:r>
          </w:p>
          <w:p w14:paraId="6662991E">
            <w:pPr>
              <w:rPr>
                <w:rFonts w:eastAsia="Calibri" w:cstheme="minorHAnsi"/>
                <w:b/>
                <w:bCs/>
                <w:sz w:val="20"/>
                <w:szCs w:val="20"/>
                <w:lang w:val="en-GB"/>
              </w:rPr>
            </w:pPr>
          </w:p>
          <w:p w14:paraId="1030A071">
            <w:pPr>
              <w:rPr>
                <w:rFonts w:eastAsia="Calibri" w:cstheme="minorHAnsi"/>
                <w:b/>
                <w:bCs/>
                <w:sz w:val="20"/>
                <w:szCs w:val="20"/>
                <w:lang w:val="en-GB"/>
              </w:rPr>
            </w:pPr>
            <w:r>
              <w:rPr>
                <w:rFonts w:eastAsia="Calibri" w:cstheme="minorHAnsi"/>
                <w:b/>
                <w:bCs/>
                <w:sz w:val="20"/>
                <w:szCs w:val="20"/>
                <w:lang w:val="en-GB"/>
              </w:rPr>
              <w:t xml:space="preserve"> </w:t>
            </w:r>
          </w:p>
        </w:tc>
        <w:tc>
          <w:tcPr>
            <w:tcW w:w="7564" w:type="dxa"/>
            <w:tcBorders>
              <w:top w:val="single" w:color="auto" w:sz="8" w:space="0"/>
              <w:left w:val="single" w:color="auto" w:sz="8" w:space="0"/>
              <w:bottom w:val="single" w:color="auto" w:sz="8" w:space="0"/>
              <w:right w:val="single" w:color="auto" w:sz="8" w:space="0"/>
            </w:tcBorders>
            <w:tcMar>
              <w:left w:w="108" w:type="dxa"/>
              <w:right w:w="108" w:type="dxa"/>
            </w:tcMar>
          </w:tcPr>
          <w:p w14:paraId="53BC27A6">
            <w:pPr>
              <w:rPr>
                <w:rFonts w:eastAsia="Calibri" w:cstheme="minorHAnsi"/>
                <w:b/>
                <w:color w:val="000000" w:themeColor="text1"/>
                <w:sz w:val="20"/>
                <w:szCs w:val="20"/>
                <w:lang w:val="en-GB"/>
                <w14:textFill>
                  <w14:solidFill>
                    <w14:schemeClr w14:val="tx1"/>
                  </w14:solidFill>
                </w14:textFill>
              </w:rPr>
            </w:pPr>
            <w:r>
              <w:rPr>
                <w:rFonts w:eastAsia="Calibri" w:cstheme="minorHAnsi"/>
                <w:b/>
                <w:bCs/>
                <w:color w:val="000000" w:themeColor="text1"/>
                <w:sz w:val="20"/>
                <w:szCs w:val="20"/>
                <w:lang w:val="en-GB"/>
                <w14:textFill>
                  <w14:solidFill>
                    <w14:schemeClr w14:val="tx1"/>
                  </w14:solidFill>
                </w14:textFill>
              </w:rPr>
              <w:t>Role</w:t>
            </w:r>
          </w:p>
          <w:p w14:paraId="3F0D0918">
            <w:pPr>
              <w:jc w:val="both"/>
              <w:rPr>
                <w:rFonts w:eastAsia="Calibri" w:cstheme="minorHAnsi"/>
                <w:color w:val="000000" w:themeColor="text1"/>
                <w:sz w:val="20"/>
                <w:szCs w:val="20"/>
                <w:lang w:val="en-PH"/>
                <w14:textFill>
                  <w14:solidFill>
                    <w14:schemeClr w14:val="tx1"/>
                  </w14:solidFill>
                </w14:textFill>
              </w:rPr>
            </w:pPr>
            <w:r>
              <w:rPr>
                <w:rFonts w:eastAsia="Calibri" w:cstheme="minorHAnsi"/>
                <w:color w:val="000000" w:themeColor="text1"/>
                <w:sz w:val="20"/>
                <w:szCs w:val="20"/>
                <w:lang w:val="en-GB"/>
                <w14:textFill>
                  <w14:solidFill>
                    <w14:schemeClr w14:val="tx1"/>
                  </w14:solidFill>
                </w14:textFill>
              </w:rPr>
              <w:t xml:space="preserve">The National Coordinator will work under </w:t>
            </w:r>
            <w:r>
              <w:rPr>
                <w:rFonts w:eastAsia="Calibri" w:cstheme="minorHAnsi"/>
                <w:color w:val="000000" w:themeColor="text1"/>
                <w:sz w:val="20"/>
                <w:szCs w:val="20"/>
                <w:lang w:val="en-PH"/>
                <w14:textFill>
                  <w14:solidFill>
                    <w14:schemeClr w14:val="tx1"/>
                  </w14:solidFill>
                </w14:textFill>
              </w:rPr>
              <w:t>supervision of Programme Manager and will be responsible for coordinating the national PPG process.  Detailed scope of work includes: liaising with the consultants and national counterparts, ensuring the timely provision of inputs to the development of the project from project partners; and ensuring that online consultations take place in a coordinated and effective manner considering time zone differences and stakeholders’ schedules.</w:t>
            </w:r>
          </w:p>
          <w:p w14:paraId="42562636">
            <w:pPr>
              <w:jc w:val="both"/>
              <w:rPr>
                <w:rFonts w:eastAsia="Calibri" w:cstheme="minorHAnsi"/>
                <w:color w:val="000000" w:themeColor="text1"/>
                <w:sz w:val="20"/>
                <w:szCs w:val="20"/>
                <w:lang w:val="en-PH"/>
                <w14:textFill>
                  <w14:solidFill>
                    <w14:schemeClr w14:val="tx1"/>
                  </w14:solidFill>
                </w14:textFill>
              </w:rPr>
            </w:pPr>
            <w:r>
              <w:rPr>
                <w:rFonts w:eastAsia="Calibri" w:cstheme="minorHAnsi"/>
                <w:color w:val="000000" w:themeColor="text1"/>
                <w:sz w:val="20"/>
                <w:szCs w:val="20"/>
                <w:lang w:val="en-PH"/>
                <w14:textFill>
                  <w14:solidFill>
                    <w14:schemeClr w14:val="tx1"/>
                  </w14:solidFill>
                </w14:textFill>
              </w:rPr>
              <w:t xml:space="preserve"> </w:t>
            </w:r>
          </w:p>
          <w:p w14:paraId="17FA0EA7">
            <w:pPr>
              <w:jc w:val="both"/>
              <w:rPr>
                <w:rFonts w:eastAsia="Calibri" w:cstheme="minorHAnsi"/>
                <w:b/>
                <w:bCs/>
                <w:sz w:val="20"/>
                <w:szCs w:val="20"/>
                <w:lang w:val="en-GB"/>
              </w:rPr>
            </w:pPr>
            <w:r>
              <w:rPr>
                <w:rFonts w:eastAsia="Calibri" w:cstheme="minorHAnsi"/>
                <w:b/>
                <w:bCs/>
                <w:sz w:val="20"/>
                <w:szCs w:val="20"/>
                <w:lang w:val="en-GB"/>
              </w:rPr>
              <w:t>Responsibilities and Deliverables</w:t>
            </w:r>
          </w:p>
          <w:p w14:paraId="3CF4686C">
            <w:pPr>
              <w:ind w:right="145"/>
              <w:rPr>
                <w:rFonts w:eastAsia="Calibri" w:cstheme="minorHAnsi"/>
                <w:b/>
                <w:bCs/>
                <w:color w:val="000000" w:themeColor="text1"/>
                <w:sz w:val="20"/>
                <w:szCs w:val="20"/>
                <w14:textFill>
                  <w14:solidFill>
                    <w14:schemeClr w14:val="tx1"/>
                  </w14:solidFill>
                </w14:textFill>
              </w:rPr>
            </w:pPr>
            <w:r>
              <w:rPr>
                <w:rFonts w:eastAsia="Calibri" w:cstheme="minorHAnsi"/>
                <w:b/>
                <w:bCs/>
                <w:color w:val="000000" w:themeColor="text1"/>
                <w:sz w:val="20"/>
                <w:szCs w:val="20"/>
                <w14:textFill>
                  <w14:solidFill>
                    <w14:schemeClr w14:val="tx1"/>
                  </w14:solidFill>
                </w14:textFill>
              </w:rPr>
              <w:t xml:space="preserve"> </w:t>
            </w:r>
          </w:p>
          <w:p w14:paraId="37C10954">
            <w:pPr>
              <w:ind w:right="145"/>
              <w:rPr>
                <w:rFonts w:eastAsia="Calibri" w:cstheme="minorHAnsi"/>
                <w:color w:val="000000" w:themeColor="text1"/>
                <w:sz w:val="20"/>
                <w:szCs w:val="20"/>
                <w:lang w:val="en-PH"/>
                <w14:textFill>
                  <w14:solidFill>
                    <w14:schemeClr w14:val="tx1"/>
                  </w14:solidFill>
                </w14:textFill>
              </w:rPr>
            </w:pPr>
            <w:r>
              <w:rPr>
                <w:rFonts w:eastAsia="Calibri" w:cstheme="minorHAnsi"/>
                <w:color w:val="000000" w:themeColor="text1"/>
                <w:sz w:val="20"/>
                <w:szCs w:val="20"/>
                <w:lang w:val="en-PH"/>
                <w14:textFill>
                  <w14:solidFill>
                    <w14:schemeClr w14:val="tx1"/>
                  </w14:solidFill>
                </w14:textFill>
              </w:rPr>
              <w:t>The national coordinator will be responsible for following tasks:</w:t>
            </w:r>
          </w:p>
          <w:p w14:paraId="33D06F7A">
            <w:pPr>
              <w:ind w:right="145"/>
              <w:rPr>
                <w:rFonts w:eastAsia="Calibri" w:cstheme="minorHAnsi"/>
                <w:color w:val="000000" w:themeColor="text1"/>
                <w:sz w:val="20"/>
                <w:szCs w:val="20"/>
                <w:lang w:val="en-PH"/>
                <w14:textFill>
                  <w14:solidFill>
                    <w14:schemeClr w14:val="tx1"/>
                  </w14:solidFill>
                </w14:textFill>
              </w:rPr>
            </w:pPr>
            <w:r>
              <w:rPr>
                <w:rFonts w:eastAsia="Calibri" w:cstheme="minorHAnsi"/>
                <w:color w:val="000000" w:themeColor="text1"/>
                <w:sz w:val="20"/>
                <w:szCs w:val="20"/>
                <w:lang w:val="en-PH"/>
                <w14:textFill>
                  <w14:solidFill>
                    <w14:schemeClr w14:val="tx1"/>
                  </w14:solidFill>
                </w14:textFill>
              </w:rPr>
              <w:t xml:space="preserve"> </w:t>
            </w:r>
          </w:p>
          <w:p w14:paraId="0A2F4E41">
            <w:pPr>
              <w:pStyle w:val="56"/>
              <w:numPr>
                <w:ilvl w:val="0"/>
                <w:numId w:val="46"/>
              </w:numPr>
              <w:ind w:left="432"/>
              <w:rPr>
                <w:sz w:val="20"/>
                <w:szCs w:val="20"/>
                <w:u w:val="single"/>
                <w:lang w:val="en-PH" w:eastAsia="ja-JP"/>
              </w:rPr>
            </w:pPr>
            <w:r>
              <w:rPr>
                <w:sz w:val="20"/>
                <w:szCs w:val="20"/>
                <w:u w:val="single"/>
                <w:lang w:val="en-PH" w:eastAsia="ja-JP"/>
              </w:rPr>
              <w:t xml:space="preserve"> PPG coordination support</w:t>
            </w:r>
          </w:p>
          <w:p w14:paraId="59BD3762">
            <w:pPr>
              <w:pStyle w:val="56"/>
              <w:numPr>
                <w:ilvl w:val="0"/>
                <w:numId w:val="47"/>
              </w:numPr>
              <w:ind w:left="692" w:hanging="274"/>
              <w:rPr>
                <w:rFonts w:eastAsia="Calibri" w:cstheme="minorHAnsi"/>
                <w:color w:val="000000" w:themeColor="text1"/>
                <w:sz w:val="20"/>
                <w:szCs w:val="20"/>
                <w14:textFill>
                  <w14:solidFill>
                    <w14:schemeClr w14:val="tx1"/>
                  </w14:solidFill>
                </w14:textFill>
              </w:rPr>
            </w:pPr>
            <w:r>
              <w:rPr>
                <w:rFonts w:eastAsia="Calibri" w:cstheme="minorHAnsi"/>
                <w:color w:val="000000" w:themeColor="text1"/>
                <w:sz w:val="20"/>
                <w:szCs w:val="20"/>
                <w14:textFill>
                  <w14:solidFill>
                    <w14:schemeClr w14:val="tx1"/>
                  </w14:solidFill>
                </w14:textFill>
              </w:rPr>
              <w:t>Coordination and liaison with counterparts (government departments, non-governmental organizations, donor agencies, private sector, UNDP CO and UN agencies);</w:t>
            </w:r>
          </w:p>
          <w:p w14:paraId="44238E33">
            <w:pPr>
              <w:pStyle w:val="56"/>
              <w:numPr>
                <w:ilvl w:val="0"/>
                <w:numId w:val="47"/>
              </w:numPr>
              <w:ind w:left="692" w:hanging="274"/>
              <w:rPr>
                <w:rFonts w:eastAsia="Calibri" w:cstheme="minorHAnsi"/>
                <w:color w:val="000000" w:themeColor="text1"/>
                <w:sz w:val="20"/>
                <w:szCs w:val="20"/>
                <w:lang w:val="en-PH"/>
                <w14:textFill>
                  <w14:solidFill>
                    <w14:schemeClr w14:val="tx1"/>
                  </w14:solidFill>
                </w14:textFill>
              </w:rPr>
            </w:pPr>
            <w:r>
              <w:rPr>
                <w:rFonts w:eastAsia="Calibri" w:cstheme="minorHAnsi"/>
                <w:color w:val="000000" w:themeColor="text1"/>
                <w:sz w:val="20"/>
                <w:szCs w:val="20"/>
                <w:lang w:val="en-PH"/>
                <w14:textFill>
                  <w14:solidFill>
                    <w14:schemeClr w14:val="tx1"/>
                  </w14:solidFill>
                </w14:textFill>
              </w:rPr>
              <w:t>Coordination and liaison with PPG Team’s consultants;</w:t>
            </w:r>
          </w:p>
          <w:p w14:paraId="672B20BC">
            <w:pPr>
              <w:pStyle w:val="56"/>
              <w:numPr>
                <w:ilvl w:val="0"/>
                <w:numId w:val="47"/>
              </w:numPr>
              <w:ind w:left="692" w:hanging="274"/>
              <w:rPr>
                <w:rFonts w:eastAsia="Calibri" w:cstheme="minorHAnsi"/>
                <w:color w:val="000000" w:themeColor="text1"/>
                <w:sz w:val="20"/>
                <w:szCs w:val="20"/>
                <w:lang w:val="en-PH"/>
                <w14:textFill>
                  <w14:solidFill>
                    <w14:schemeClr w14:val="tx1"/>
                  </w14:solidFill>
                </w14:textFill>
              </w:rPr>
            </w:pPr>
            <w:r>
              <w:rPr>
                <w:rFonts w:eastAsia="Calibri" w:cstheme="minorHAnsi"/>
                <w:color w:val="000000" w:themeColor="text1"/>
                <w:sz w:val="20"/>
                <w:szCs w:val="20"/>
                <w:lang w:val="en-PH"/>
                <w14:textFill>
                  <w14:solidFill>
                    <w14:schemeClr w14:val="tx1"/>
                  </w14:solidFill>
                </w14:textFill>
              </w:rPr>
              <w:t>Organize meetings and technical discussions, prepare activity arrangements (program and budget), invitations and materials needed for the meetings and discussions;</w:t>
            </w:r>
          </w:p>
          <w:p w14:paraId="45342BAF">
            <w:pPr>
              <w:pStyle w:val="56"/>
              <w:numPr>
                <w:ilvl w:val="0"/>
                <w:numId w:val="47"/>
              </w:numPr>
              <w:ind w:left="692" w:hanging="274"/>
              <w:rPr>
                <w:rFonts w:eastAsia="Calibri" w:cstheme="minorHAnsi"/>
                <w:color w:val="000000" w:themeColor="text1"/>
                <w:sz w:val="20"/>
                <w:szCs w:val="20"/>
                <w:lang w:val="en-PH"/>
                <w14:textFill>
                  <w14:solidFill>
                    <w14:schemeClr w14:val="tx1"/>
                  </w14:solidFill>
                </w14:textFill>
              </w:rPr>
            </w:pPr>
            <w:r>
              <w:rPr>
                <w:rFonts w:eastAsia="Calibri" w:cstheme="minorHAnsi"/>
                <w:color w:val="000000" w:themeColor="text1"/>
                <w:sz w:val="20"/>
                <w:szCs w:val="20"/>
                <w:lang w:val="en-PH"/>
                <w14:textFill>
                  <w14:solidFill>
                    <w14:schemeClr w14:val="tx1"/>
                  </w14:solidFill>
                </w14:textFill>
              </w:rPr>
              <w:t>Document the proceedings during stakeholder consultations and workshops;</w:t>
            </w:r>
          </w:p>
          <w:p w14:paraId="59074A07">
            <w:pPr>
              <w:pStyle w:val="56"/>
              <w:numPr>
                <w:ilvl w:val="0"/>
                <w:numId w:val="47"/>
              </w:numPr>
              <w:ind w:left="692" w:hanging="274"/>
              <w:rPr>
                <w:rFonts w:eastAsia="Calibri" w:cstheme="minorHAnsi"/>
                <w:color w:val="000000" w:themeColor="text1"/>
                <w:sz w:val="20"/>
                <w:szCs w:val="20"/>
                <w:lang w:val="en-PH"/>
                <w14:textFill>
                  <w14:solidFill>
                    <w14:schemeClr w14:val="tx1"/>
                  </w14:solidFill>
                </w14:textFill>
              </w:rPr>
            </w:pPr>
            <w:r>
              <w:rPr>
                <w:rFonts w:eastAsia="Calibri"/>
                <w:color w:val="000000" w:themeColor="text1"/>
                <w:sz w:val="20"/>
                <w:szCs w:val="20"/>
                <w:lang w:val="en-PH"/>
                <w14:textFill>
                  <w14:solidFill>
                    <w14:schemeClr w14:val="tx1"/>
                  </w14:solidFill>
                </w14:textFill>
              </w:rPr>
              <w:t>Support PPG Team in monitoring, updating, and sharing information on progress of deliverables on quarterly basis;</w:t>
            </w:r>
          </w:p>
          <w:p w14:paraId="64CE23A7">
            <w:pPr>
              <w:pStyle w:val="56"/>
              <w:numPr>
                <w:ilvl w:val="0"/>
                <w:numId w:val="47"/>
              </w:numPr>
              <w:ind w:left="692" w:hanging="274"/>
              <w:rPr>
                <w:rFonts w:eastAsia="Calibri"/>
                <w:color w:val="000000" w:themeColor="text1"/>
                <w:sz w:val="20"/>
                <w:szCs w:val="20"/>
                <w:lang w:val="en-PH"/>
                <w14:textFill>
                  <w14:solidFill>
                    <w14:schemeClr w14:val="tx1"/>
                  </w14:solidFill>
                </w14:textFill>
              </w:rPr>
            </w:pPr>
            <w:r>
              <w:rPr>
                <w:rFonts w:eastAsia="Calibri"/>
                <w:color w:val="000000" w:themeColor="text1"/>
                <w:sz w:val="20"/>
                <w:szCs w:val="20"/>
                <w:lang w:val="en-PH"/>
                <w14:textFill>
                  <w14:solidFill>
                    <w14:schemeClr w14:val="tx1"/>
                  </w14:solidFill>
                </w14:textFill>
              </w:rPr>
              <w:t xml:space="preserve">Provide research support for Project Document preparation and undertake secondary data gathering, as needed; and </w:t>
            </w:r>
          </w:p>
          <w:p w14:paraId="6ED7E740">
            <w:pPr>
              <w:pStyle w:val="56"/>
              <w:numPr>
                <w:ilvl w:val="0"/>
                <w:numId w:val="47"/>
              </w:numPr>
              <w:ind w:left="692" w:hanging="274"/>
              <w:rPr>
                <w:rFonts w:eastAsia="Calibri"/>
                <w:color w:val="000000" w:themeColor="text1"/>
                <w:sz w:val="20"/>
                <w:szCs w:val="20"/>
                <w:lang w:val="en-PH"/>
                <w14:textFill>
                  <w14:solidFill>
                    <w14:schemeClr w14:val="tx1"/>
                  </w14:solidFill>
                </w14:textFill>
              </w:rPr>
            </w:pPr>
            <w:r>
              <w:rPr>
                <w:rFonts w:eastAsia="Calibri"/>
                <w:color w:val="000000" w:themeColor="text1"/>
                <w:sz w:val="20"/>
                <w:szCs w:val="20"/>
                <w:lang w:val="en-PH"/>
                <w14:textFill>
                  <w14:solidFill>
                    <w14:schemeClr w14:val="tx1"/>
                  </w14:solidFill>
                </w14:textFill>
              </w:rPr>
              <w:t>Other tasks deemed necessary for project delivery and completion.</w:t>
            </w:r>
          </w:p>
          <w:p w14:paraId="24633FCC">
            <w:pPr>
              <w:pStyle w:val="56"/>
              <w:ind w:left="692" w:hanging="274"/>
              <w:rPr>
                <w:rFonts w:eastAsia="Calibri"/>
                <w:color w:val="000000" w:themeColor="text1"/>
                <w:sz w:val="20"/>
                <w:szCs w:val="20"/>
                <w:lang w:val="en-PH"/>
                <w14:textFill>
                  <w14:solidFill>
                    <w14:schemeClr w14:val="tx1"/>
                  </w14:solidFill>
                </w14:textFill>
              </w:rPr>
            </w:pPr>
          </w:p>
          <w:p w14:paraId="497CA9A8">
            <w:pPr>
              <w:ind w:left="432" w:hanging="360"/>
              <w:rPr>
                <w:sz w:val="20"/>
                <w:szCs w:val="20"/>
                <w:lang w:val="en-GB" w:eastAsia="ja-JP"/>
              </w:rPr>
            </w:pPr>
            <w:r>
              <w:rPr>
                <w:sz w:val="20"/>
                <w:szCs w:val="20"/>
                <w:u w:val="single"/>
                <w:lang w:val="en-GB" w:eastAsia="ja-JP"/>
              </w:rPr>
              <w:t>2) Formulation of the ProDoc, CEO Endorsement Request and Mandatory and Project Specific Annexes (Component B)</w:t>
            </w:r>
            <w:r>
              <w:rPr>
                <w:sz w:val="20"/>
                <w:szCs w:val="20"/>
                <w:lang w:val="en-GB" w:eastAsia="ja-JP"/>
              </w:rPr>
              <w:t xml:space="preserve">: </w:t>
            </w:r>
          </w:p>
          <w:p w14:paraId="3336A03C">
            <w:pPr>
              <w:pStyle w:val="56"/>
              <w:numPr>
                <w:ilvl w:val="0"/>
                <w:numId w:val="48"/>
              </w:numPr>
              <w:ind w:left="692" w:hanging="274"/>
              <w:rPr>
                <w:rFonts w:eastAsia="Calibri"/>
                <w:color w:val="000000" w:themeColor="text1"/>
                <w:sz w:val="20"/>
                <w:szCs w:val="20"/>
                <w:lang w:val="en-GB"/>
                <w14:textFill>
                  <w14:solidFill>
                    <w14:schemeClr w14:val="tx1"/>
                  </w14:solidFill>
                </w14:textFill>
              </w:rPr>
            </w:pPr>
            <w:r>
              <w:rPr>
                <w:color w:val="000000" w:themeColor="text1"/>
                <w:sz w:val="20"/>
                <w:szCs w:val="20"/>
                <w:lang w:val="en-GB"/>
                <w14:textFill>
                  <w14:solidFill>
                    <w14:schemeClr w14:val="tx1"/>
                  </w14:solidFill>
                </w14:textFill>
              </w:rPr>
              <w:t>Support the PPG Team Leader in preparing the Project budget, Multi-Year Work Plan and, Moni</w:t>
            </w:r>
            <w:r>
              <w:rPr>
                <w:sz w:val="20"/>
                <w:szCs w:val="20"/>
                <w:lang w:val="en-GB" w:eastAsia="ja-JP"/>
              </w:rPr>
              <w:t xml:space="preserve">toring &amp; </w:t>
            </w:r>
            <w:r>
              <w:rPr>
                <w:color w:val="000000" w:themeColor="text1"/>
                <w:sz w:val="20"/>
                <w:szCs w:val="20"/>
                <w:lang w:val="en-GB"/>
                <w14:textFill>
                  <w14:solidFill>
                    <w14:schemeClr w14:val="tx1"/>
                  </w14:solidFill>
                </w14:textFill>
              </w:rPr>
              <w:t>Evaluation</w:t>
            </w:r>
            <w:r>
              <w:rPr>
                <w:sz w:val="20"/>
                <w:szCs w:val="20"/>
                <w:lang w:val="en-GB" w:eastAsia="ja-JP"/>
              </w:rPr>
              <w:t xml:space="preserve"> Plan;</w:t>
            </w:r>
          </w:p>
          <w:p w14:paraId="2795F3B8">
            <w:pPr>
              <w:pStyle w:val="56"/>
              <w:numPr>
                <w:ilvl w:val="0"/>
                <w:numId w:val="48"/>
              </w:numPr>
              <w:ind w:left="692" w:hanging="274"/>
              <w:rPr>
                <w:rFonts w:eastAsia="Calibri"/>
                <w:color w:val="000000" w:themeColor="text1"/>
                <w:sz w:val="20"/>
                <w:szCs w:val="20"/>
                <w:lang w:val="en-GB" w:eastAsia="ja-JP"/>
                <w14:textFill>
                  <w14:solidFill>
                    <w14:schemeClr w14:val="tx1"/>
                  </w14:solidFill>
                </w14:textFill>
              </w:rPr>
            </w:pPr>
            <w:r>
              <w:rPr>
                <w:rFonts w:eastAsia="Calibri"/>
                <w:color w:val="000000" w:themeColor="text1"/>
                <w:sz w:val="20"/>
                <w:szCs w:val="20"/>
                <w:lang w:val="en-GB" w:eastAsia="ja-JP"/>
                <w14:textFill>
                  <w14:solidFill>
                    <w14:schemeClr w14:val="tx1"/>
                  </w14:solidFill>
                </w14:textFill>
              </w:rPr>
              <w:t>Work and coordinate with the PPG Team and Government Experts on the PPG capacity assessment;</w:t>
            </w:r>
          </w:p>
          <w:p w14:paraId="62CF7A07">
            <w:pPr>
              <w:pStyle w:val="56"/>
              <w:numPr>
                <w:ilvl w:val="0"/>
                <w:numId w:val="48"/>
              </w:numPr>
              <w:ind w:left="692" w:hanging="274"/>
              <w:rPr>
                <w:rFonts w:eastAsia="Calibri"/>
                <w:color w:val="000000" w:themeColor="text1"/>
                <w:sz w:val="20"/>
                <w:szCs w:val="20"/>
                <w:lang w:val="en-GB" w:eastAsia="ja-JP"/>
                <w14:textFill>
                  <w14:solidFill>
                    <w14:schemeClr w14:val="tx1"/>
                  </w14:solidFill>
                </w14:textFill>
              </w:rPr>
            </w:pPr>
            <w:r>
              <w:rPr>
                <w:rFonts w:eastAsia="Calibri"/>
                <w:color w:val="000000" w:themeColor="text1"/>
                <w:sz w:val="20"/>
                <w:szCs w:val="20"/>
                <w:lang w:val="en-GB" w:eastAsia="ja-JP"/>
                <w14:textFill>
                  <w14:solidFill>
                    <w14:schemeClr w14:val="tx1"/>
                  </w14:solidFill>
                </w14:textFill>
              </w:rPr>
              <w:t>Lead in collecting co-financing letters;</w:t>
            </w:r>
          </w:p>
          <w:p w14:paraId="2D6AE0D0">
            <w:pPr>
              <w:pStyle w:val="56"/>
              <w:numPr>
                <w:ilvl w:val="0"/>
                <w:numId w:val="48"/>
              </w:numPr>
              <w:ind w:left="692" w:hanging="274"/>
              <w:rPr>
                <w:rFonts w:eastAsia="Calibri"/>
                <w:color w:val="000000" w:themeColor="text1"/>
                <w:sz w:val="20"/>
                <w:szCs w:val="20"/>
                <w:lang w:val="en-GB" w:eastAsia="ja-JP"/>
                <w14:textFill>
                  <w14:solidFill>
                    <w14:schemeClr w14:val="tx1"/>
                  </w14:solidFill>
                </w14:textFill>
              </w:rPr>
            </w:pPr>
            <w:r>
              <w:rPr>
                <w:rFonts w:eastAsia="Calibri"/>
                <w:color w:val="000000" w:themeColor="text1"/>
                <w:sz w:val="20"/>
                <w:szCs w:val="20"/>
                <w:lang w:val="en-GB" w:eastAsia="ja-JP"/>
                <w14:textFill>
                  <w14:solidFill>
                    <w14:schemeClr w14:val="tx1"/>
                  </w14:solidFill>
                </w14:textFill>
              </w:rPr>
              <w:t>Support the PPG team leader in the formulation of PPG related documents as needed.</w:t>
            </w:r>
          </w:p>
          <w:p w14:paraId="0918DF3F">
            <w:pPr>
              <w:rPr>
                <w:rFonts w:eastAsia="Calibri"/>
                <w:color w:val="000000" w:themeColor="text1"/>
                <w:sz w:val="20"/>
                <w:szCs w:val="20"/>
                <w:lang w:val="en-GB" w:eastAsia="ja-JP"/>
                <w14:textFill>
                  <w14:solidFill>
                    <w14:schemeClr w14:val="tx1"/>
                  </w14:solidFill>
                </w14:textFill>
              </w:rPr>
            </w:pPr>
          </w:p>
          <w:p w14:paraId="2C83CC6A">
            <w:pPr>
              <w:ind w:left="432" w:hanging="360"/>
              <w:rPr>
                <w:sz w:val="20"/>
                <w:szCs w:val="20"/>
                <w:lang w:val="en-GB" w:eastAsia="ja-JP"/>
              </w:rPr>
            </w:pPr>
            <w:r>
              <w:rPr>
                <w:sz w:val="20"/>
                <w:szCs w:val="20"/>
                <w:u w:val="single"/>
                <w:lang w:val="en-GB" w:eastAsia="ja-JP"/>
              </w:rPr>
              <w:t>3) Validation Workshop (Component C)</w:t>
            </w:r>
            <w:r>
              <w:rPr>
                <w:sz w:val="20"/>
                <w:szCs w:val="20"/>
                <w:lang w:val="en-GB" w:eastAsia="ja-JP"/>
              </w:rPr>
              <w:t xml:space="preserve">: </w:t>
            </w:r>
          </w:p>
          <w:p w14:paraId="05EFAA63">
            <w:pPr>
              <w:pStyle w:val="56"/>
              <w:numPr>
                <w:ilvl w:val="1"/>
                <w:numId w:val="49"/>
              </w:numPr>
              <w:ind w:left="692" w:hanging="274"/>
              <w:rPr>
                <w:sz w:val="20"/>
                <w:szCs w:val="20"/>
                <w:lang w:val="en-GB" w:eastAsia="ja-JP"/>
              </w:rPr>
            </w:pPr>
            <w:r>
              <w:rPr>
                <w:sz w:val="20"/>
                <w:szCs w:val="20"/>
                <w:lang w:val="en-GB" w:eastAsia="ja-JP"/>
              </w:rPr>
              <w:t>Contribute to both the inception and validation workshop;</w:t>
            </w:r>
          </w:p>
          <w:p w14:paraId="399D2448">
            <w:pPr>
              <w:pStyle w:val="56"/>
              <w:numPr>
                <w:ilvl w:val="1"/>
                <w:numId w:val="49"/>
              </w:numPr>
              <w:ind w:left="692" w:hanging="274"/>
              <w:rPr>
                <w:sz w:val="20"/>
                <w:szCs w:val="20"/>
                <w:lang w:val="en-GB" w:eastAsia="ja-JP"/>
              </w:rPr>
            </w:pPr>
            <w:r>
              <w:rPr>
                <w:sz w:val="20"/>
                <w:szCs w:val="20"/>
                <w:lang w:val="en-GB" w:eastAsia="ja-JP"/>
              </w:rPr>
              <w:t>Document the proceedings of the validation workshop.</w:t>
            </w:r>
          </w:p>
          <w:p w14:paraId="14F9B4AF">
            <w:pPr>
              <w:pStyle w:val="56"/>
              <w:ind w:left="432" w:hanging="360"/>
              <w:rPr>
                <w:sz w:val="20"/>
                <w:szCs w:val="20"/>
                <w:lang w:val="en-GB" w:eastAsia="ja-JP"/>
              </w:rPr>
            </w:pPr>
          </w:p>
          <w:p w14:paraId="5260C9B7">
            <w:pPr>
              <w:ind w:right="145"/>
              <w:rPr>
                <w:rFonts w:eastAsia="Calibri" w:cstheme="minorHAnsi"/>
                <w:b/>
                <w:bCs/>
                <w:color w:val="000000" w:themeColor="text1"/>
                <w:sz w:val="20"/>
                <w:szCs w:val="20"/>
                <w:lang w:val="en-PH"/>
                <w14:textFill>
                  <w14:solidFill>
                    <w14:schemeClr w14:val="tx1"/>
                  </w14:solidFill>
                </w14:textFill>
              </w:rPr>
            </w:pPr>
            <w:r>
              <w:rPr>
                <w:rFonts w:eastAsia="Calibri" w:cstheme="minorHAnsi"/>
                <w:b/>
                <w:bCs/>
                <w:color w:val="000000" w:themeColor="text1"/>
                <w:sz w:val="20"/>
                <w:szCs w:val="20"/>
                <w:lang w:val="en-PH"/>
                <w14:textFill>
                  <w14:solidFill>
                    <w14:schemeClr w14:val="tx1"/>
                  </w14:solidFill>
                </w14:textFill>
              </w:rPr>
              <w:t>Qualifications:</w:t>
            </w:r>
          </w:p>
          <w:p w14:paraId="4C237322">
            <w:pPr>
              <w:ind w:right="145"/>
              <w:rPr>
                <w:rFonts w:eastAsia="Calibri" w:cstheme="minorHAnsi"/>
                <w:color w:val="000000" w:themeColor="text1"/>
                <w:sz w:val="20"/>
                <w:szCs w:val="20"/>
                <w:lang w:val="en-PH"/>
                <w14:textFill>
                  <w14:solidFill>
                    <w14:schemeClr w14:val="tx1"/>
                  </w14:solidFill>
                </w14:textFill>
              </w:rPr>
            </w:pPr>
            <w:r>
              <w:rPr>
                <w:rFonts w:eastAsia="Calibri" w:cstheme="minorHAnsi"/>
                <w:color w:val="000000" w:themeColor="text1"/>
                <w:sz w:val="20"/>
                <w:szCs w:val="20"/>
                <w:lang w:val="en-PH"/>
                <w14:textFill>
                  <w14:solidFill>
                    <w14:schemeClr w14:val="tx1"/>
                  </w14:solidFill>
                </w14:textFill>
              </w:rPr>
              <w:t xml:space="preserve"> </w:t>
            </w:r>
          </w:p>
          <w:p w14:paraId="3A7D6BB2">
            <w:pPr>
              <w:pStyle w:val="56"/>
              <w:numPr>
                <w:ilvl w:val="0"/>
                <w:numId w:val="50"/>
              </w:numPr>
              <w:ind w:right="-20"/>
              <w:rPr>
                <w:rFonts w:eastAsia="Calibri" w:cstheme="minorHAnsi"/>
                <w:color w:val="000000" w:themeColor="text1"/>
                <w:sz w:val="20"/>
                <w:szCs w:val="20"/>
                <w14:textFill>
                  <w14:solidFill>
                    <w14:schemeClr w14:val="tx1"/>
                  </w14:solidFill>
                </w14:textFill>
              </w:rPr>
            </w:pPr>
            <w:r>
              <w:rPr>
                <w:rFonts w:eastAsia="Calibri" w:cstheme="minorHAnsi"/>
                <w:color w:val="000000" w:themeColor="text1"/>
                <w:sz w:val="20"/>
                <w:szCs w:val="20"/>
                <w14:textFill>
                  <w14:solidFill>
                    <w14:schemeClr w14:val="tx1"/>
                  </w14:solidFill>
                </w14:textFill>
              </w:rPr>
              <w:t>Secondary education is required, or a University Degree in Business Administration, Public Administration, Natural Resource Management, Environment, Urban Planning or equivalent field will be given due consideration, but it is not a requirement;</w:t>
            </w:r>
          </w:p>
          <w:p w14:paraId="37414433">
            <w:pPr>
              <w:pStyle w:val="56"/>
              <w:numPr>
                <w:ilvl w:val="0"/>
                <w:numId w:val="50"/>
              </w:numPr>
              <w:ind w:right="-20"/>
              <w:rPr>
                <w:rFonts w:eastAsia="Calibri" w:cstheme="minorHAnsi"/>
                <w:sz w:val="20"/>
                <w:szCs w:val="20"/>
                <w:lang w:val="en-GB"/>
              </w:rPr>
            </w:pPr>
            <w:r>
              <w:rPr>
                <w:rFonts w:eastAsia="Calibri" w:cstheme="minorHAnsi"/>
                <w:sz w:val="20"/>
                <w:szCs w:val="20"/>
                <w:lang w:val="en-GB"/>
              </w:rPr>
              <w:t>Experience in one or more of the related technical areas of natural resource management, biodiversity conservation and spatial planning is an asset;</w:t>
            </w:r>
          </w:p>
          <w:p w14:paraId="6E58F4C4">
            <w:pPr>
              <w:pStyle w:val="56"/>
              <w:numPr>
                <w:ilvl w:val="0"/>
                <w:numId w:val="50"/>
              </w:numPr>
              <w:ind w:right="-20"/>
              <w:rPr>
                <w:rFonts w:eastAsia="Calibri" w:cstheme="minorHAnsi"/>
                <w:color w:val="000000" w:themeColor="text1"/>
                <w:sz w:val="20"/>
                <w:szCs w:val="20"/>
                <w:lang w:val="en-PH"/>
                <w14:textFill>
                  <w14:solidFill>
                    <w14:schemeClr w14:val="tx1"/>
                  </w14:solidFill>
                </w14:textFill>
              </w:rPr>
            </w:pPr>
            <w:r>
              <w:rPr>
                <w:rFonts w:eastAsia="Calibri" w:cstheme="minorHAnsi"/>
                <w:color w:val="000000" w:themeColor="text1"/>
                <w:sz w:val="20"/>
                <w:szCs w:val="20"/>
                <w:lang w:val="en-PH"/>
                <w14:textFill>
                  <w14:solidFill>
                    <w14:schemeClr w14:val="tx1"/>
                  </w14:solidFill>
                </w14:textFill>
              </w:rPr>
              <w:t>Experience in the use of computers, office software packages (MS Word, Excel, etc.) and web-based management systems;</w:t>
            </w:r>
          </w:p>
          <w:p w14:paraId="3D6FAF60">
            <w:pPr>
              <w:pStyle w:val="56"/>
              <w:numPr>
                <w:ilvl w:val="0"/>
                <w:numId w:val="50"/>
              </w:numPr>
              <w:ind w:right="-20"/>
              <w:rPr>
                <w:rFonts w:eastAsia="Calibri" w:cstheme="minorHAnsi"/>
                <w:color w:val="000000" w:themeColor="text1"/>
                <w:sz w:val="20"/>
                <w:szCs w:val="20"/>
                <w:lang w:val="en-PH"/>
                <w14:textFill>
                  <w14:solidFill>
                    <w14:schemeClr w14:val="tx1"/>
                  </w14:solidFill>
                </w14:textFill>
              </w:rPr>
            </w:pPr>
            <w:r>
              <w:rPr>
                <w:rFonts w:eastAsia="Calibri" w:cstheme="minorHAnsi"/>
                <w:color w:val="000000" w:themeColor="text1"/>
                <w:sz w:val="20"/>
                <w:szCs w:val="20"/>
                <w:lang w:val="en-PH"/>
                <w14:textFill>
                  <w14:solidFill>
                    <w14:schemeClr w14:val="tx1"/>
                  </w14:solidFill>
                </w14:textFill>
              </w:rPr>
              <w:t>Knowledge of monitoring and evaluation tools;</w:t>
            </w:r>
          </w:p>
          <w:p w14:paraId="1E5B8DD7">
            <w:pPr>
              <w:pStyle w:val="56"/>
              <w:numPr>
                <w:ilvl w:val="0"/>
                <w:numId w:val="50"/>
              </w:numPr>
              <w:ind w:right="-20"/>
              <w:rPr>
                <w:rFonts w:eastAsia="Calibri" w:cstheme="minorHAnsi"/>
                <w:color w:val="000000" w:themeColor="text1"/>
                <w:sz w:val="20"/>
                <w:szCs w:val="20"/>
                <w:lang w:val="en-PH"/>
                <w14:textFill>
                  <w14:solidFill>
                    <w14:schemeClr w14:val="tx1"/>
                  </w14:solidFill>
                </w14:textFill>
              </w:rPr>
            </w:pPr>
            <w:r>
              <w:rPr>
                <w:rFonts w:eastAsia="Calibri" w:cstheme="minorHAnsi"/>
                <w:color w:val="000000" w:themeColor="text1"/>
                <w:sz w:val="20"/>
                <w:szCs w:val="20"/>
                <w:lang w:val="en-PH"/>
                <w14:textFill>
                  <w14:solidFill>
                    <w14:schemeClr w14:val="tx1"/>
                  </w14:solidFill>
                </w14:textFill>
              </w:rPr>
              <w:t>Knowledge of project management processes;</w:t>
            </w:r>
          </w:p>
          <w:p w14:paraId="095FB25C">
            <w:pPr>
              <w:pStyle w:val="56"/>
              <w:numPr>
                <w:ilvl w:val="0"/>
                <w:numId w:val="50"/>
              </w:numPr>
              <w:ind w:right="-20"/>
              <w:rPr>
                <w:rFonts w:eastAsia="Calibri" w:cstheme="minorHAnsi"/>
                <w:sz w:val="20"/>
                <w:szCs w:val="20"/>
              </w:rPr>
            </w:pPr>
            <w:r>
              <w:rPr>
                <w:rFonts w:eastAsia="Calibri" w:cstheme="minorHAnsi"/>
                <w:sz w:val="20"/>
                <w:szCs w:val="20"/>
              </w:rPr>
              <w:t>Knowledge of procurement procedures of national / international organizations;</w:t>
            </w:r>
          </w:p>
          <w:p w14:paraId="033C246B">
            <w:pPr>
              <w:pStyle w:val="56"/>
              <w:numPr>
                <w:ilvl w:val="0"/>
                <w:numId w:val="50"/>
              </w:numPr>
              <w:ind w:right="-20"/>
              <w:rPr>
                <w:rFonts w:eastAsia="Calibri" w:cstheme="minorHAnsi"/>
                <w:color w:val="000000" w:themeColor="text1"/>
                <w:sz w:val="20"/>
                <w:szCs w:val="20"/>
                <w:lang w:val="en-PH"/>
                <w14:textFill>
                  <w14:solidFill>
                    <w14:schemeClr w14:val="tx1"/>
                  </w14:solidFill>
                </w14:textFill>
              </w:rPr>
            </w:pPr>
            <w:r>
              <w:rPr>
                <w:rFonts w:eastAsia="Calibri" w:cstheme="minorHAnsi"/>
                <w:sz w:val="20"/>
                <w:szCs w:val="20"/>
                <w:lang w:val="en-GB"/>
              </w:rPr>
              <w:t>Familiarity with UNDP and GEF;</w:t>
            </w:r>
          </w:p>
          <w:p w14:paraId="2C3F8FEF">
            <w:pPr>
              <w:pStyle w:val="56"/>
              <w:numPr>
                <w:ilvl w:val="0"/>
                <w:numId w:val="50"/>
              </w:numPr>
              <w:ind w:right="-20"/>
              <w:rPr>
                <w:rFonts w:eastAsia="Calibri" w:cstheme="minorHAnsi"/>
                <w:sz w:val="20"/>
                <w:szCs w:val="20"/>
                <w:lang w:val="en-GB"/>
              </w:rPr>
            </w:pPr>
            <w:r>
              <w:rPr>
                <w:rFonts w:eastAsia="Calibri" w:cstheme="minorHAnsi"/>
                <w:sz w:val="20"/>
                <w:szCs w:val="20"/>
                <w:lang w:val="en-GB"/>
              </w:rPr>
              <w:t xml:space="preserve">Excellent written and oral communication skills in English.  </w:t>
            </w:r>
          </w:p>
        </w:tc>
      </w:tr>
      <w:bookmarkEnd w:id="11"/>
    </w:tbl>
    <w:p w14:paraId="191D3AB7">
      <w:pPr>
        <w:rPr>
          <w:rFonts w:cstheme="minorHAnsi"/>
          <w:highlight w:val="yellow"/>
        </w:rPr>
      </w:pPr>
    </w:p>
    <w:p w14:paraId="28B8164E">
      <w:pPr>
        <w:rPr>
          <w:rFonts w:cstheme="minorHAnsi"/>
          <w:highlight w:val="yellow"/>
        </w:rPr>
      </w:pPr>
    </w:p>
    <w:p w14:paraId="78346FB0">
      <w:pPr>
        <w:rPr>
          <w:rFonts w:cstheme="minorHAnsi"/>
          <w:highlight w:val="yellow"/>
        </w:rPr>
      </w:pPr>
    </w:p>
    <w:p w14:paraId="72F7039A">
      <w:pPr>
        <w:rPr>
          <w:rFonts w:cstheme="minorHAnsi"/>
        </w:rPr>
      </w:pPr>
    </w:p>
    <w:sectPr>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1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704020202020204"/>
    <w:charset w:val="00"/>
    <w:family w:val="swiss"/>
    <w:pitch w:val="default"/>
    <w:sig w:usb0="E0002AFF" w:usb1="C0007843" w:usb2="00000009" w:usb3="00000000" w:csb0="400001FF" w:csb1="FFFF0000"/>
  </w:font>
  <w:font w:name="Malgun Gothic">
    <w:altName w:val="Apple SD Gothic Neo"/>
    <w:panose1 w:val="00000000000000000000"/>
    <w:charset w:val="86"/>
    <w:family w:val="auto"/>
    <w:pitch w:val="default"/>
    <w:sig w:usb0="00000000" w:usb1="00000000" w:usb2="00000000" w:usb3="00000000" w:csb0="00000000" w:csb1="00000000"/>
  </w:font>
  <w:font w:name="Courier New">
    <w:panose1 w:val="02070609020205020404"/>
    <w:charset w:val="00"/>
    <w:family w:val="modern"/>
    <w:pitch w:val="default"/>
    <w:sig w:usb0="E0002AFF" w:usb1="C0007843" w:usb2="00000009" w:usb3="00000000" w:csb0="400001FF" w:csb1="FFFF0000"/>
  </w:font>
  <w:font w:name="Segoe UI">
    <w:altName w:val="苹方-简"/>
    <w:panose1 w:val="020B0502040204020203"/>
    <w:charset w:val="00"/>
    <w:family w:val="swiss"/>
    <w:pitch w:val="default"/>
    <w:sig w:usb0="00000000" w:usb1="00000000" w:usb2="00000009" w:usb3="00000000" w:csb0="000001FF" w:csb1="00000000"/>
  </w:font>
  <w:font w:name="Malgun Gothic">
    <w:altName w:val="Apple SD Gothic Neo"/>
    <w:panose1 w:val="020B0503020000020004"/>
    <w:charset w:val="81"/>
    <w:family w:val="swiss"/>
    <w:pitch w:val="default"/>
    <w:sig w:usb0="00000000" w:usb1="00000000" w:usb2="00000012" w:usb3="00000000" w:csb0="00080001" w:csb1="00000000"/>
  </w:font>
  <w:font w:name="DengXian">
    <w:altName w:val="汉仪中等线KW"/>
    <w:panose1 w:val="02010600030101010101"/>
    <w:charset w:val="86"/>
    <w:family w:val="auto"/>
    <w:pitch w:val="default"/>
    <w:sig w:usb0="00000000" w:usb1="00000000" w:usb2="00000016" w:usb3="00000000" w:csb0="0004000F" w:csb1="00000000"/>
  </w:font>
  <w:font w:name="Apple SD Gothic Neo">
    <w:panose1 w:val="02000300000000000000"/>
    <w:charset w:val="81"/>
    <w:family w:val="auto"/>
    <w:pitch w:val="default"/>
    <w:sig w:usb0="00000203" w:usb1="21D12C10" w:usb2="00000010" w:usb3="00000000" w:csb0="00280005" w:csb1="00000000"/>
  </w:font>
  <w:font w:name="Helvetica Neue">
    <w:panose1 w:val="02000503000000020004"/>
    <w:charset w:val="00"/>
    <w:family w:val="auto"/>
    <w:pitch w:val="default"/>
    <w:sig w:usb0="E50002FF" w:usb1="500079DB" w:usb2="00000010" w:usb3="00000000" w:csb0="00000000" w:csb1="00000000"/>
  </w:font>
  <w:font w:name="冬青黑体简体中文">
    <w:panose1 w:val="020B0300000000000000"/>
    <w:charset w:val="86"/>
    <w:family w:val="auto"/>
    <w:pitch w:val="default"/>
    <w:sig w:usb0="A00002BF" w:usb1="1ACF7CFA" w:usb2="00000016" w:usb3="00000000" w:csb0="00060007" w:csb1="00000000"/>
  </w:font>
  <w:font w:name="Kingsoft Sign">
    <w:panose1 w:val="05050102010706020507"/>
    <w:charset w:val="00"/>
    <w:family w:val="auto"/>
    <w:pitch w:val="default"/>
    <w:sig w:usb0="00000000" w:usb1="10000000" w:usb2="00000000" w:usb3="00000000" w:csb0="0000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A8489">
    <w:pPr>
      <w:pStyle w:val="15"/>
      <w:tabs>
        <w:tab w:val="right" w:pos="12960"/>
        <w:tab w:val="clear" w:pos="9360"/>
      </w:tabs>
    </w:pPr>
    <w:r>
      <w:tab/>
    </w:r>
    <w:r>
      <w:tab/>
    </w:r>
    <w:sdt>
      <w:sdtPr>
        <w:rPr>
          <w:color w:val="2B579A"/>
          <w:shd w:val="clear" w:color="auto" w:fill="E6E6E6"/>
        </w:rPr>
        <w:id w:val="-1"/>
        <w:docPartObj>
          <w:docPartGallery w:val="AutoText"/>
        </w:docPartObj>
      </w:sdtPr>
      <w:sdtEndPr>
        <w:rPr>
          <w:color w:val="auto"/>
          <w:shd w:val="clear" w:color="auto" w:fill="auto"/>
        </w:rPr>
      </w:sdtEndPr>
      <w:sdtContent>
        <w:r>
          <w:rPr>
            <w:color w:val="2B579A"/>
            <w:shd w:val="clear" w:color="auto" w:fill="E6E6E6"/>
          </w:rPr>
          <w:fldChar w:fldCharType="begin"/>
        </w:r>
        <w:r>
          <w:instrText xml:space="preserve"> PAGE   \* MERGEFORMAT </w:instrText>
        </w:r>
        <w:r>
          <w:rPr>
            <w:color w:val="2B579A"/>
            <w:shd w:val="clear" w:color="auto" w:fill="E6E6E6"/>
          </w:rPr>
          <w:fldChar w:fldCharType="separate"/>
        </w:r>
        <w:r>
          <w:t>14</w:t>
        </w:r>
        <w:r>
          <w:rPr>
            <w:color w:val="2B579A"/>
            <w:shd w:val="clear" w:color="auto" w:fill="E6E6E6"/>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F0F40">
    <w:pPr>
      <w:pStyle w:val="15"/>
      <w:tabs>
        <w:tab w:val="right" w:pos="12960"/>
        <w:tab w:val="clear" w:pos="9360"/>
      </w:tabs>
    </w:pPr>
    <w:r>
      <w:tab/>
    </w:r>
    <w:r>
      <w:tab/>
    </w:r>
    <w:sdt>
      <w:sdtPr>
        <w:rPr>
          <w:color w:val="2B579A"/>
          <w:shd w:val="clear" w:color="auto" w:fill="E6E6E6"/>
        </w:rPr>
        <w:id w:val="716085777"/>
        <w:docPartObj>
          <w:docPartGallery w:val="AutoText"/>
        </w:docPartObj>
      </w:sdtPr>
      <w:sdtEndPr>
        <w:rPr>
          <w:color w:val="auto"/>
          <w:shd w:val="clear" w:color="auto" w:fill="auto"/>
        </w:rPr>
      </w:sdtEndPr>
      <w:sdtContent>
        <w:r>
          <w:rPr>
            <w:color w:val="2B579A"/>
            <w:shd w:val="clear" w:color="auto" w:fill="E6E6E6"/>
          </w:rPr>
          <w:fldChar w:fldCharType="begin"/>
        </w:r>
        <w:r>
          <w:instrText xml:space="preserve"> PAGE   \* MERGEFORMAT </w:instrText>
        </w:r>
        <w:r>
          <w:rPr>
            <w:color w:val="2B579A"/>
            <w:shd w:val="clear" w:color="auto" w:fill="E6E6E6"/>
          </w:rPr>
          <w:fldChar w:fldCharType="separate"/>
        </w:r>
        <w:r>
          <w:t>16</w:t>
        </w:r>
        <w:r>
          <w:rPr>
            <w:color w:val="2B579A"/>
            <w:shd w:val="clear" w:color="auto" w:fill="E6E6E6"/>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pPr>
        <w:spacing w:before="0" w:after="0" w:line="240" w:lineRule="auto"/>
      </w:pPr>
      <w:r>
        <w:separator/>
      </w:r>
    </w:p>
  </w:footnote>
  <w:footnote w:type="continuationSeparator" w:id="15">
    <w:p>
      <w:pPr>
        <w:spacing w:before="0" w:after="0" w:line="240" w:lineRule="auto"/>
      </w:pPr>
      <w:r>
        <w:continuationSeparator/>
      </w:r>
    </w:p>
  </w:footnote>
  <w:footnote w:id="0">
    <w:p w14:paraId="3CBD31D1">
      <w:pPr>
        <w:pStyle w:val="19"/>
        <w:rPr>
          <w:sz w:val="18"/>
          <w:szCs w:val="18"/>
        </w:rPr>
      </w:pPr>
      <w:r>
        <w:rPr>
          <w:rStyle w:val="32"/>
          <w:sz w:val="18"/>
          <w:szCs w:val="18"/>
        </w:rPr>
        <w:footnoteRef/>
      </w:r>
      <w:r>
        <w:rPr>
          <w:sz w:val="18"/>
          <w:szCs w:val="18"/>
        </w:rPr>
        <w:t xml:space="preserve"> Edit as necessary. Include other Agency as necessary.</w:t>
      </w:r>
    </w:p>
  </w:footnote>
  <w:footnote w:id="1">
    <w:p w14:paraId="45B7617F">
      <w:pPr>
        <w:pStyle w:val="19"/>
      </w:pPr>
      <w:r>
        <w:rPr>
          <w:rStyle w:val="32"/>
        </w:rPr>
        <w:footnoteRef/>
      </w:r>
      <w:r>
        <w:t xml:space="preserve"> Submission to RTS/RTA for review before Sep 20, 2025</w:t>
      </w:r>
    </w:p>
  </w:footnote>
  <w:footnote w:id="2">
    <w:p w14:paraId="6DD7C412">
      <w:pPr>
        <w:pStyle w:val="19"/>
      </w:pPr>
      <w:r>
        <w:rPr>
          <w:rStyle w:val="32"/>
        </w:rPr>
        <w:footnoteRef/>
      </w:r>
      <w:r>
        <w:t xml:space="preserve"> Including mandatory procurement assessment and construction assessment when applicable</w:t>
      </w:r>
    </w:p>
  </w:footnote>
  <w:footnote w:id="3">
    <w:p w14:paraId="30EC08A3">
      <w:pPr>
        <w:pStyle w:val="19"/>
      </w:pPr>
      <w:r>
        <w:rPr>
          <w:rStyle w:val="32"/>
        </w:rPr>
        <w:footnoteRef/>
      </w:r>
      <w:r>
        <w:t xml:space="preserve"> </w:t>
      </w:r>
      <w:r>
        <w:rPr>
          <w:sz w:val="18"/>
          <w:szCs w:val="18"/>
          <w:lang w:eastAsia="ja-JP"/>
        </w:rPr>
        <w:t>The Validation process includes the inception mission and workshop as well. Inception products are hence included under Component C in workplan and TORs</w:t>
      </w:r>
    </w:p>
  </w:footnote>
  <w:footnote w:id="4">
    <w:p w14:paraId="5691010D">
      <w:pPr>
        <w:pStyle w:val="19"/>
      </w:pPr>
      <w:r>
        <w:rPr>
          <w:rStyle w:val="32"/>
        </w:rPr>
        <w:footnoteRef/>
      </w:r>
      <w:r>
        <w:t xml:space="preserve"> Please verify with the UNDP-GEF team that the correct templates are being used.</w:t>
      </w:r>
    </w:p>
  </w:footnote>
  <w:footnote w:id="5">
    <w:p w14:paraId="13E223DF">
      <w:pPr>
        <w:pStyle w:val="45"/>
        <w:ind w:left="187"/>
        <w:rPr>
          <w:sz w:val="14"/>
          <w:szCs w:val="14"/>
        </w:rPr>
      </w:pPr>
      <w:r>
        <w:rPr>
          <w:sz w:val="14"/>
          <w:szCs w:val="14"/>
        </w:rPr>
        <w:footnoteRef/>
      </w:r>
      <w:r>
        <w:rPr>
          <w:sz w:val="14"/>
          <w:szCs w:val="14"/>
        </w:rPr>
        <w:t xml:space="preserve"> : Jonas, H. D., MacKinnon, K., Marnewick, D. and Wood, P. (2023). Site-level tool for identifying other effective area-based conservation measures (OECMs). First edition. IUCN WCPA Technical Report Series No. 6. Gland, Switzerland: IUCN.</w:t>
      </w:r>
    </w:p>
  </w:footnote>
  <w:footnote w:id="6">
    <w:p w14:paraId="6586D4D0">
      <w:pPr>
        <w:pStyle w:val="19"/>
      </w:pPr>
      <w:r>
        <w:rPr>
          <w:rStyle w:val="32"/>
        </w:rPr>
        <w:footnoteRef/>
      </w:r>
      <w:r>
        <w:t xml:space="preserve"> </w:t>
      </w:r>
      <w:r>
        <w:fldChar w:fldCharType="begin"/>
      </w:r>
      <w:r>
        <w:instrText xml:space="preserve"> HYPERLINK "https://climatescreeningtools.worldbank.org/" </w:instrText>
      </w:r>
      <w:r>
        <w:fldChar w:fldCharType="separate"/>
      </w:r>
      <w:r>
        <w:rPr>
          <w:rStyle w:val="30"/>
        </w:rPr>
        <w:t>https://climatescreeningtools.worldbank.org/</w:t>
      </w:r>
      <w:r>
        <w:rPr>
          <w:rStyle w:val="30"/>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4E34A0"/>
    <w:multiLevelType w:val="multilevel"/>
    <w:tmpl w:val="014E34A0"/>
    <w:lvl w:ilvl="0" w:tentative="0">
      <w:start w:val="1"/>
      <w:numFmt w:val="lowerLetter"/>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2465A6B"/>
    <w:multiLevelType w:val="multilevel"/>
    <w:tmpl w:val="02465A6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26A447E"/>
    <w:multiLevelType w:val="multilevel"/>
    <w:tmpl w:val="026A447E"/>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
    <w:nsid w:val="039E04D0"/>
    <w:multiLevelType w:val="multilevel"/>
    <w:tmpl w:val="039E04D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4784DA6"/>
    <w:multiLevelType w:val="multilevel"/>
    <w:tmpl w:val="04784DA6"/>
    <w:lvl w:ilvl="0" w:tentative="0">
      <w:start w:val="1"/>
      <w:numFmt w:val="lowerLetter"/>
      <w:lvlText w:val="%1."/>
      <w:lvlJc w:val="left"/>
      <w:pPr>
        <w:ind w:left="792" w:hanging="360"/>
      </w:pPr>
    </w:lvl>
    <w:lvl w:ilvl="1" w:tentative="0">
      <w:start w:val="1"/>
      <w:numFmt w:val="lowerLetter"/>
      <w:lvlText w:val="%2."/>
      <w:lvlJc w:val="left"/>
      <w:pPr>
        <w:ind w:left="1512" w:hanging="360"/>
      </w:pPr>
    </w:lvl>
    <w:lvl w:ilvl="2" w:tentative="0">
      <w:start w:val="1"/>
      <w:numFmt w:val="lowerRoman"/>
      <w:lvlText w:val="%3."/>
      <w:lvlJc w:val="right"/>
      <w:pPr>
        <w:ind w:left="2232" w:hanging="180"/>
      </w:pPr>
    </w:lvl>
    <w:lvl w:ilvl="3" w:tentative="0">
      <w:start w:val="1"/>
      <w:numFmt w:val="decimal"/>
      <w:lvlText w:val="%4."/>
      <w:lvlJc w:val="left"/>
      <w:pPr>
        <w:ind w:left="2952" w:hanging="360"/>
      </w:pPr>
    </w:lvl>
    <w:lvl w:ilvl="4" w:tentative="0">
      <w:start w:val="1"/>
      <w:numFmt w:val="lowerLetter"/>
      <w:lvlText w:val="%5."/>
      <w:lvlJc w:val="left"/>
      <w:pPr>
        <w:ind w:left="3672" w:hanging="360"/>
      </w:pPr>
    </w:lvl>
    <w:lvl w:ilvl="5" w:tentative="0">
      <w:start w:val="1"/>
      <w:numFmt w:val="lowerRoman"/>
      <w:lvlText w:val="%6."/>
      <w:lvlJc w:val="right"/>
      <w:pPr>
        <w:ind w:left="4392" w:hanging="180"/>
      </w:pPr>
    </w:lvl>
    <w:lvl w:ilvl="6" w:tentative="0">
      <w:start w:val="1"/>
      <w:numFmt w:val="decimal"/>
      <w:lvlText w:val="%7."/>
      <w:lvlJc w:val="left"/>
      <w:pPr>
        <w:ind w:left="5112" w:hanging="360"/>
      </w:pPr>
    </w:lvl>
    <w:lvl w:ilvl="7" w:tentative="0">
      <w:start w:val="1"/>
      <w:numFmt w:val="lowerLetter"/>
      <w:lvlText w:val="%8."/>
      <w:lvlJc w:val="left"/>
      <w:pPr>
        <w:ind w:left="5832" w:hanging="360"/>
      </w:pPr>
    </w:lvl>
    <w:lvl w:ilvl="8" w:tentative="0">
      <w:start w:val="1"/>
      <w:numFmt w:val="lowerRoman"/>
      <w:lvlText w:val="%9."/>
      <w:lvlJc w:val="right"/>
      <w:pPr>
        <w:ind w:left="6552" w:hanging="180"/>
      </w:pPr>
    </w:lvl>
  </w:abstractNum>
  <w:abstractNum w:abstractNumId="5">
    <w:nsid w:val="04A5658D"/>
    <w:multiLevelType w:val="multilevel"/>
    <w:tmpl w:val="04A5658D"/>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6">
    <w:nsid w:val="05A002FE"/>
    <w:multiLevelType w:val="multilevel"/>
    <w:tmpl w:val="05A002FE"/>
    <w:lvl w:ilvl="0" w:tentative="0">
      <w:start w:val="45"/>
      <w:numFmt w:val="bullet"/>
      <w:lvlText w:val="-"/>
      <w:lvlJc w:val="left"/>
      <w:pPr>
        <w:ind w:left="785" w:hanging="360"/>
      </w:pPr>
      <w:rPr>
        <w:rFonts w:hint="default" w:ascii="Calibri" w:hAnsi="Calibri" w:cs="Calibri" w:eastAsiaTheme="minorEastAsia"/>
      </w:rPr>
    </w:lvl>
    <w:lvl w:ilvl="1" w:tentative="0">
      <w:start w:val="1"/>
      <w:numFmt w:val="bullet"/>
      <w:lvlText w:val=""/>
      <w:lvlJc w:val="left"/>
      <w:pPr>
        <w:ind w:left="1305" w:hanging="440"/>
      </w:pPr>
      <w:rPr>
        <w:rFonts w:hint="default" w:ascii="Wingdings" w:hAnsi="Wingdings"/>
      </w:rPr>
    </w:lvl>
    <w:lvl w:ilvl="2" w:tentative="0">
      <w:start w:val="1"/>
      <w:numFmt w:val="bullet"/>
      <w:lvlText w:val=""/>
      <w:lvlJc w:val="left"/>
      <w:pPr>
        <w:ind w:left="1745" w:hanging="440"/>
      </w:pPr>
      <w:rPr>
        <w:rFonts w:hint="default" w:ascii="Wingdings" w:hAnsi="Wingdings"/>
      </w:rPr>
    </w:lvl>
    <w:lvl w:ilvl="3" w:tentative="0">
      <w:start w:val="1"/>
      <w:numFmt w:val="bullet"/>
      <w:lvlText w:val=""/>
      <w:lvlJc w:val="left"/>
      <w:pPr>
        <w:ind w:left="2185" w:hanging="440"/>
      </w:pPr>
      <w:rPr>
        <w:rFonts w:hint="default" w:ascii="Wingdings" w:hAnsi="Wingdings"/>
      </w:rPr>
    </w:lvl>
    <w:lvl w:ilvl="4" w:tentative="0">
      <w:start w:val="1"/>
      <w:numFmt w:val="bullet"/>
      <w:lvlText w:val=""/>
      <w:lvlJc w:val="left"/>
      <w:pPr>
        <w:ind w:left="2625" w:hanging="440"/>
      </w:pPr>
      <w:rPr>
        <w:rFonts w:hint="default" w:ascii="Wingdings" w:hAnsi="Wingdings"/>
      </w:rPr>
    </w:lvl>
    <w:lvl w:ilvl="5" w:tentative="0">
      <w:start w:val="1"/>
      <w:numFmt w:val="bullet"/>
      <w:lvlText w:val=""/>
      <w:lvlJc w:val="left"/>
      <w:pPr>
        <w:ind w:left="3065" w:hanging="440"/>
      </w:pPr>
      <w:rPr>
        <w:rFonts w:hint="default" w:ascii="Wingdings" w:hAnsi="Wingdings"/>
      </w:rPr>
    </w:lvl>
    <w:lvl w:ilvl="6" w:tentative="0">
      <w:start w:val="1"/>
      <w:numFmt w:val="bullet"/>
      <w:lvlText w:val=""/>
      <w:lvlJc w:val="left"/>
      <w:pPr>
        <w:ind w:left="3505" w:hanging="440"/>
      </w:pPr>
      <w:rPr>
        <w:rFonts w:hint="default" w:ascii="Wingdings" w:hAnsi="Wingdings"/>
      </w:rPr>
    </w:lvl>
    <w:lvl w:ilvl="7" w:tentative="0">
      <w:start w:val="1"/>
      <w:numFmt w:val="bullet"/>
      <w:lvlText w:val=""/>
      <w:lvlJc w:val="left"/>
      <w:pPr>
        <w:ind w:left="3945" w:hanging="440"/>
      </w:pPr>
      <w:rPr>
        <w:rFonts w:hint="default" w:ascii="Wingdings" w:hAnsi="Wingdings"/>
      </w:rPr>
    </w:lvl>
    <w:lvl w:ilvl="8" w:tentative="0">
      <w:start w:val="1"/>
      <w:numFmt w:val="bullet"/>
      <w:lvlText w:val=""/>
      <w:lvlJc w:val="left"/>
      <w:pPr>
        <w:ind w:left="4385" w:hanging="440"/>
      </w:pPr>
      <w:rPr>
        <w:rFonts w:hint="default" w:ascii="Wingdings" w:hAnsi="Wingdings"/>
      </w:rPr>
    </w:lvl>
  </w:abstractNum>
  <w:abstractNum w:abstractNumId="7">
    <w:nsid w:val="05EFF475"/>
    <w:multiLevelType w:val="multilevel"/>
    <w:tmpl w:val="05EFF47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8">
    <w:nsid w:val="0AA1E9C5"/>
    <w:multiLevelType w:val="multilevel"/>
    <w:tmpl w:val="0AA1E9C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9">
    <w:nsid w:val="0B987C98"/>
    <w:multiLevelType w:val="multilevel"/>
    <w:tmpl w:val="0B987C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0C71778C"/>
    <w:multiLevelType w:val="multilevel"/>
    <w:tmpl w:val="0C71778C"/>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1BF33D9D"/>
    <w:multiLevelType w:val="multilevel"/>
    <w:tmpl w:val="1BF33D9D"/>
    <w:lvl w:ilvl="0" w:tentative="0">
      <w:start w:val="1"/>
      <w:numFmt w:val="lowerLetter"/>
      <w:lvlText w:val="%1."/>
      <w:lvlJc w:val="left"/>
      <w:pPr>
        <w:ind w:left="792" w:hanging="360"/>
      </w:pPr>
    </w:lvl>
    <w:lvl w:ilvl="1" w:tentative="0">
      <w:start w:val="1"/>
      <w:numFmt w:val="lowerLetter"/>
      <w:lvlText w:val="%2."/>
      <w:lvlJc w:val="left"/>
      <w:pPr>
        <w:ind w:left="1512" w:hanging="360"/>
      </w:pPr>
    </w:lvl>
    <w:lvl w:ilvl="2" w:tentative="0">
      <w:start w:val="1"/>
      <w:numFmt w:val="lowerRoman"/>
      <w:lvlText w:val="%3."/>
      <w:lvlJc w:val="right"/>
      <w:pPr>
        <w:ind w:left="2232" w:hanging="180"/>
      </w:pPr>
    </w:lvl>
    <w:lvl w:ilvl="3" w:tentative="0">
      <w:start w:val="1"/>
      <w:numFmt w:val="decimal"/>
      <w:lvlText w:val="%4."/>
      <w:lvlJc w:val="left"/>
      <w:pPr>
        <w:ind w:left="2952" w:hanging="360"/>
      </w:pPr>
    </w:lvl>
    <w:lvl w:ilvl="4" w:tentative="0">
      <w:start w:val="1"/>
      <w:numFmt w:val="lowerLetter"/>
      <w:lvlText w:val="%5."/>
      <w:lvlJc w:val="left"/>
      <w:pPr>
        <w:ind w:left="3672" w:hanging="360"/>
      </w:pPr>
    </w:lvl>
    <w:lvl w:ilvl="5" w:tentative="0">
      <w:start w:val="1"/>
      <w:numFmt w:val="lowerRoman"/>
      <w:lvlText w:val="%6."/>
      <w:lvlJc w:val="right"/>
      <w:pPr>
        <w:ind w:left="4392" w:hanging="180"/>
      </w:pPr>
    </w:lvl>
    <w:lvl w:ilvl="6" w:tentative="0">
      <w:start w:val="1"/>
      <w:numFmt w:val="decimal"/>
      <w:lvlText w:val="%7."/>
      <w:lvlJc w:val="left"/>
      <w:pPr>
        <w:ind w:left="5112" w:hanging="360"/>
      </w:pPr>
    </w:lvl>
    <w:lvl w:ilvl="7" w:tentative="0">
      <w:start w:val="1"/>
      <w:numFmt w:val="lowerLetter"/>
      <w:lvlText w:val="%8."/>
      <w:lvlJc w:val="left"/>
      <w:pPr>
        <w:ind w:left="5832" w:hanging="360"/>
      </w:pPr>
    </w:lvl>
    <w:lvl w:ilvl="8" w:tentative="0">
      <w:start w:val="1"/>
      <w:numFmt w:val="lowerRoman"/>
      <w:lvlText w:val="%9."/>
      <w:lvlJc w:val="right"/>
      <w:pPr>
        <w:ind w:left="6552" w:hanging="180"/>
      </w:pPr>
    </w:lvl>
  </w:abstractNum>
  <w:abstractNum w:abstractNumId="12">
    <w:nsid w:val="2178C9A4"/>
    <w:multiLevelType w:val="multilevel"/>
    <w:tmpl w:val="2178C9A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3">
    <w:nsid w:val="27D0D961"/>
    <w:multiLevelType w:val="multilevel"/>
    <w:tmpl w:val="27D0D96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2B0E0499"/>
    <w:multiLevelType w:val="multilevel"/>
    <w:tmpl w:val="2B0E0499"/>
    <w:lvl w:ilvl="0" w:tentative="0">
      <w:start w:val="1"/>
      <w:numFmt w:val="decimal"/>
      <w:lvlText w:val="%1."/>
      <w:lvlJc w:val="left"/>
      <w:pPr>
        <w:ind w:left="1080" w:hanging="720"/>
      </w:pPr>
      <w:rPr>
        <w:rFonts w:hint="default"/>
        <w:b w:val="0"/>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2B9E0E5E"/>
    <w:multiLevelType w:val="multilevel"/>
    <w:tmpl w:val="2B9E0E5E"/>
    <w:lvl w:ilvl="0" w:tentative="0">
      <w:start w:val="0"/>
      <w:numFmt w:val="bullet"/>
      <w:pStyle w:val="5"/>
      <w:lvlText w:val="•"/>
      <w:lvlJc w:val="left"/>
      <w:pPr>
        <w:ind w:left="1080" w:hanging="720"/>
      </w:pPr>
      <w:rPr>
        <w:rFonts w:hint="default" w:ascii="Calibri" w:hAnsi="Calibri" w:cs="Calibri"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2FDC529F"/>
    <w:multiLevelType w:val="multilevel"/>
    <w:tmpl w:val="2FDC529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327F7C19"/>
    <w:multiLevelType w:val="multilevel"/>
    <w:tmpl w:val="327F7C19"/>
    <w:lvl w:ilvl="0" w:tentative="0">
      <w:start w:val="1"/>
      <w:numFmt w:val="upperRoman"/>
      <w:lvlText w:val="%1."/>
      <w:lvlJc w:val="left"/>
      <w:pPr>
        <w:ind w:left="720" w:hanging="360"/>
      </w:pPr>
      <w:rPr>
        <w:rFonts w:hint="default"/>
      </w:rPr>
    </w:lvl>
    <w:lvl w:ilvl="1" w:tentative="0">
      <w:start w:val="1"/>
      <w:numFmt w:val="lowerRoman"/>
      <w:lvlText w:val="%2)"/>
      <w:lvlJc w:val="left"/>
      <w:pPr>
        <w:ind w:left="1800" w:hanging="720"/>
      </w:pPr>
      <w:rPr>
        <w:rFonts w:hint="default"/>
      </w:rPr>
    </w:lvl>
    <w:lvl w:ilvl="2" w:tentative="0">
      <w:start w:val="1"/>
      <w:numFmt w:val="upperLetter"/>
      <w:lvlText w:val="%3."/>
      <w:lvlJc w:val="left"/>
      <w:pPr>
        <w:ind w:left="2700" w:hanging="720"/>
      </w:pPr>
      <w:rPr>
        <w:rFonts w:hint="default"/>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362F57B0"/>
    <w:multiLevelType w:val="multilevel"/>
    <w:tmpl w:val="362F57B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3AD545BD"/>
    <w:multiLevelType w:val="multilevel"/>
    <w:tmpl w:val="3AD545BD"/>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0">
    <w:nsid w:val="3BD50C30"/>
    <w:multiLevelType w:val="multilevel"/>
    <w:tmpl w:val="3BD50C30"/>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1">
    <w:nsid w:val="3C90639A"/>
    <w:multiLevelType w:val="multilevel"/>
    <w:tmpl w:val="3C90639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2">
    <w:nsid w:val="3CC3D106"/>
    <w:multiLevelType w:val="multilevel"/>
    <w:tmpl w:val="3CC3D106"/>
    <w:lvl w:ilvl="0" w:tentative="0">
      <w:start w:val="1"/>
      <w:numFmt w:val="lowerLetter"/>
      <w:lvlText w:val="%1."/>
      <w:lvlJc w:val="left"/>
      <w:pPr>
        <w:ind w:left="792" w:hanging="360"/>
      </w:pPr>
    </w:lvl>
    <w:lvl w:ilvl="1" w:tentative="0">
      <w:start w:val="1"/>
      <w:numFmt w:val="lowerLetter"/>
      <w:lvlText w:val="%2."/>
      <w:lvlJc w:val="left"/>
      <w:pPr>
        <w:ind w:left="1512" w:hanging="360"/>
      </w:pPr>
    </w:lvl>
    <w:lvl w:ilvl="2" w:tentative="0">
      <w:start w:val="1"/>
      <w:numFmt w:val="lowerRoman"/>
      <w:lvlText w:val="%3."/>
      <w:lvlJc w:val="right"/>
      <w:pPr>
        <w:ind w:left="2232" w:hanging="180"/>
      </w:pPr>
    </w:lvl>
    <w:lvl w:ilvl="3" w:tentative="0">
      <w:start w:val="1"/>
      <w:numFmt w:val="decimal"/>
      <w:lvlText w:val="%4."/>
      <w:lvlJc w:val="left"/>
      <w:pPr>
        <w:ind w:left="2952" w:hanging="360"/>
      </w:pPr>
    </w:lvl>
    <w:lvl w:ilvl="4" w:tentative="0">
      <w:start w:val="1"/>
      <w:numFmt w:val="lowerLetter"/>
      <w:lvlText w:val="%5."/>
      <w:lvlJc w:val="left"/>
      <w:pPr>
        <w:ind w:left="3672" w:hanging="360"/>
      </w:pPr>
    </w:lvl>
    <w:lvl w:ilvl="5" w:tentative="0">
      <w:start w:val="1"/>
      <w:numFmt w:val="lowerRoman"/>
      <w:lvlText w:val="%6."/>
      <w:lvlJc w:val="right"/>
      <w:pPr>
        <w:ind w:left="4392" w:hanging="180"/>
      </w:pPr>
    </w:lvl>
    <w:lvl w:ilvl="6" w:tentative="0">
      <w:start w:val="1"/>
      <w:numFmt w:val="decimal"/>
      <w:lvlText w:val="%7."/>
      <w:lvlJc w:val="left"/>
      <w:pPr>
        <w:ind w:left="5112" w:hanging="360"/>
      </w:pPr>
    </w:lvl>
    <w:lvl w:ilvl="7" w:tentative="0">
      <w:start w:val="1"/>
      <w:numFmt w:val="lowerLetter"/>
      <w:lvlText w:val="%8."/>
      <w:lvlJc w:val="left"/>
      <w:pPr>
        <w:ind w:left="5832" w:hanging="360"/>
      </w:pPr>
    </w:lvl>
    <w:lvl w:ilvl="8" w:tentative="0">
      <w:start w:val="1"/>
      <w:numFmt w:val="lowerRoman"/>
      <w:lvlText w:val="%9."/>
      <w:lvlJc w:val="right"/>
      <w:pPr>
        <w:ind w:left="6552" w:hanging="180"/>
      </w:pPr>
    </w:lvl>
  </w:abstractNum>
  <w:abstractNum w:abstractNumId="23">
    <w:nsid w:val="3CF1BEF6"/>
    <w:multiLevelType w:val="multilevel"/>
    <w:tmpl w:val="3CF1BEF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4">
    <w:nsid w:val="3D676664"/>
    <w:multiLevelType w:val="multilevel"/>
    <w:tmpl w:val="3D67666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5">
    <w:nsid w:val="3F9912C6"/>
    <w:multiLevelType w:val="multilevel"/>
    <w:tmpl w:val="3F9912C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6">
    <w:nsid w:val="3FB65FC5"/>
    <w:multiLevelType w:val="multilevel"/>
    <w:tmpl w:val="3FB65FC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418E2A1A"/>
    <w:multiLevelType w:val="multilevel"/>
    <w:tmpl w:val="418E2A1A"/>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8">
    <w:nsid w:val="45CD0EC2"/>
    <w:multiLevelType w:val="multilevel"/>
    <w:tmpl w:val="45CD0EC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9">
    <w:nsid w:val="48A649D2"/>
    <w:multiLevelType w:val="multilevel"/>
    <w:tmpl w:val="48A649D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0">
    <w:nsid w:val="49F485A9"/>
    <w:multiLevelType w:val="multilevel"/>
    <w:tmpl w:val="49F485A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31">
    <w:nsid w:val="50300D80"/>
    <w:multiLevelType w:val="multilevel"/>
    <w:tmpl w:val="50300D8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51530C97"/>
    <w:multiLevelType w:val="multilevel"/>
    <w:tmpl w:val="51530C9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33">
    <w:nsid w:val="51DB0959"/>
    <w:multiLevelType w:val="multilevel"/>
    <w:tmpl w:val="51DB0959"/>
    <w:lvl w:ilvl="0" w:tentative="0">
      <w:start w:val="1"/>
      <w:numFmt w:val="lowerLetter"/>
      <w:pStyle w:val="4"/>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4">
    <w:nsid w:val="53A51C16"/>
    <w:multiLevelType w:val="multilevel"/>
    <w:tmpl w:val="53A51C16"/>
    <w:lvl w:ilvl="0" w:tentative="0">
      <w:start w:val="1"/>
      <w:numFmt w:val="lowerLetter"/>
      <w:lvlText w:val="%1."/>
      <w:lvlJc w:val="left"/>
      <w:pPr>
        <w:ind w:left="504" w:hanging="360"/>
      </w:pPr>
    </w:lvl>
    <w:lvl w:ilvl="1" w:tentative="0">
      <w:start w:val="1"/>
      <w:numFmt w:val="lowerLetter"/>
      <w:lvlText w:val="%2."/>
      <w:lvlJc w:val="left"/>
      <w:pPr>
        <w:ind w:left="1224" w:hanging="360"/>
      </w:pPr>
    </w:lvl>
    <w:lvl w:ilvl="2" w:tentative="0">
      <w:start w:val="1"/>
      <w:numFmt w:val="lowerRoman"/>
      <w:lvlText w:val="%3."/>
      <w:lvlJc w:val="right"/>
      <w:pPr>
        <w:ind w:left="1944" w:hanging="180"/>
      </w:pPr>
    </w:lvl>
    <w:lvl w:ilvl="3" w:tentative="0">
      <w:start w:val="1"/>
      <w:numFmt w:val="decimal"/>
      <w:lvlText w:val="%4."/>
      <w:lvlJc w:val="left"/>
      <w:pPr>
        <w:ind w:left="2664" w:hanging="360"/>
      </w:pPr>
    </w:lvl>
    <w:lvl w:ilvl="4" w:tentative="0">
      <w:start w:val="1"/>
      <w:numFmt w:val="lowerLetter"/>
      <w:lvlText w:val="%5."/>
      <w:lvlJc w:val="left"/>
      <w:pPr>
        <w:ind w:left="3384" w:hanging="360"/>
      </w:pPr>
    </w:lvl>
    <w:lvl w:ilvl="5" w:tentative="0">
      <w:start w:val="1"/>
      <w:numFmt w:val="lowerRoman"/>
      <w:lvlText w:val="%6."/>
      <w:lvlJc w:val="right"/>
      <w:pPr>
        <w:ind w:left="4104" w:hanging="180"/>
      </w:pPr>
    </w:lvl>
    <w:lvl w:ilvl="6" w:tentative="0">
      <w:start w:val="1"/>
      <w:numFmt w:val="decimal"/>
      <w:lvlText w:val="%7."/>
      <w:lvlJc w:val="left"/>
      <w:pPr>
        <w:ind w:left="4824" w:hanging="360"/>
      </w:pPr>
    </w:lvl>
    <w:lvl w:ilvl="7" w:tentative="0">
      <w:start w:val="1"/>
      <w:numFmt w:val="lowerLetter"/>
      <w:lvlText w:val="%8."/>
      <w:lvlJc w:val="left"/>
      <w:pPr>
        <w:ind w:left="5544" w:hanging="360"/>
      </w:pPr>
    </w:lvl>
    <w:lvl w:ilvl="8" w:tentative="0">
      <w:start w:val="1"/>
      <w:numFmt w:val="lowerRoman"/>
      <w:lvlText w:val="%9."/>
      <w:lvlJc w:val="right"/>
      <w:pPr>
        <w:ind w:left="6264" w:hanging="180"/>
      </w:pPr>
    </w:lvl>
  </w:abstractNum>
  <w:abstractNum w:abstractNumId="35">
    <w:nsid w:val="53B8022E"/>
    <w:multiLevelType w:val="multilevel"/>
    <w:tmpl w:val="53B8022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543955D7"/>
    <w:multiLevelType w:val="multilevel"/>
    <w:tmpl w:val="543955D7"/>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5D2F2BE6"/>
    <w:multiLevelType w:val="multilevel"/>
    <w:tmpl w:val="5D2F2BE6"/>
    <w:lvl w:ilvl="0" w:tentative="0">
      <w:start w:val="0"/>
      <w:numFmt w:val="bullet"/>
      <w:lvlText w:val="•"/>
      <w:lvlJc w:val="left"/>
      <w:pPr>
        <w:ind w:left="496" w:hanging="440"/>
      </w:pPr>
      <w:rPr>
        <w:rFonts w:hint="default"/>
        <w:lang w:val="en-US" w:eastAsia="en-US" w:bidi="en-US"/>
      </w:rPr>
    </w:lvl>
    <w:lvl w:ilvl="1" w:tentative="0">
      <w:start w:val="1"/>
      <w:numFmt w:val="bullet"/>
      <w:lvlText w:val=""/>
      <w:lvlJc w:val="left"/>
      <w:pPr>
        <w:ind w:left="936" w:hanging="440"/>
      </w:pPr>
      <w:rPr>
        <w:rFonts w:hint="default" w:ascii="Wingdings" w:hAnsi="Wingdings"/>
      </w:rPr>
    </w:lvl>
    <w:lvl w:ilvl="2" w:tentative="0">
      <w:start w:val="1"/>
      <w:numFmt w:val="bullet"/>
      <w:lvlText w:val=""/>
      <w:lvlJc w:val="left"/>
      <w:pPr>
        <w:ind w:left="1376" w:hanging="440"/>
      </w:pPr>
      <w:rPr>
        <w:rFonts w:hint="default" w:ascii="Wingdings" w:hAnsi="Wingdings"/>
      </w:rPr>
    </w:lvl>
    <w:lvl w:ilvl="3" w:tentative="0">
      <w:start w:val="1"/>
      <w:numFmt w:val="bullet"/>
      <w:lvlText w:val=""/>
      <w:lvlJc w:val="left"/>
      <w:pPr>
        <w:ind w:left="1816" w:hanging="440"/>
      </w:pPr>
      <w:rPr>
        <w:rFonts w:hint="default" w:ascii="Wingdings" w:hAnsi="Wingdings"/>
      </w:rPr>
    </w:lvl>
    <w:lvl w:ilvl="4" w:tentative="0">
      <w:start w:val="1"/>
      <w:numFmt w:val="bullet"/>
      <w:lvlText w:val=""/>
      <w:lvlJc w:val="left"/>
      <w:pPr>
        <w:ind w:left="2256" w:hanging="440"/>
      </w:pPr>
      <w:rPr>
        <w:rFonts w:hint="default" w:ascii="Wingdings" w:hAnsi="Wingdings"/>
      </w:rPr>
    </w:lvl>
    <w:lvl w:ilvl="5" w:tentative="0">
      <w:start w:val="1"/>
      <w:numFmt w:val="bullet"/>
      <w:lvlText w:val=""/>
      <w:lvlJc w:val="left"/>
      <w:pPr>
        <w:ind w:left="2696" w:hanging="440"/>
      </w:pPr>
      <w:rPr>
        <w:rFonts w:hint="default" w:ascii="Wingdings" w:hAnsi="Wingdings"/>
      </w:rPr>
    </w:lvl>
    <w:lvl w:ilvl="6" w:tentative="0">
      <w:start w:val="1"/>
      <w:numFmt w:val="bullet"/>
      <w:lvlText w:val=""/>
      <w:lvlJc w:val="left"/>
      <w:pPr>
        <w:ind w:left="3136" w:hanging="440"/>
      </w:pPr>
      <w:rPr>
        <w:rFonts w:hint="default" w:ascii="Wingdings" w:hAnsi="Wingdings"/>
      </w:rPr>
    </w:lvl>
    <w:lvl w:ilvl="7" w:tentative="0">
      <w:start w:val="1"/>
      <w:numFmt w:val="bullet"/>
      <w:lvlText w:val=""/>
      <w:lvlJc w:val="left"/>
      <w:pPr>
        <w:ind w:left="3576" w:hanging="440"/>
      </w:pPr>
      <w:rPr>
        <w:rFonts w:hint="default" w:ascii="Wingdings" w:hAnsi="Wingdings"/>
      </w:rPr>
    </w:lvl>
    <w:lvl w:ilvl="8" w:tentative="0">
      <w:start w:val="1"/>
      <w:numFmt w:val="bullet"/>
      <w:lvlText w:val=""/>
      <w:lvlJc w:val="left"/>
      <w:pPr>
        <w:ind w:left="4016" w:hanging="440"/>
      </w:pPr>
      <w:rPr>
        <w:rFonts w:hint="default" w:ascii="Wingdings" w:hAnsi="Wingdings"/>
      </w:rPr>
    </w:lvl>
  </w:abstractNum>
  <w:abstractNum w:abstractNumId="38">
    <w:nsid w:val="5FAC2309"/>
    <w:multiLevelType w:val="multilevel"/>
    <w:tmpl w:val="5FAC2309"/>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9">
    <w:nsid w:val="60AD26C2"/>
    <w:multiLevelType w:val="multilevel"/>
    <w:tmpl w:val="60AD26C2"/>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0">
    <w:nsid w:val="6280D348"/>
    <w:multiLevelType w:val="multilevel"/>
    <w:tmpl w:val="6280D348"/>
    <w:lvl w:ilvl="0" w:tentative="0">
      <w:start w:val="1"/>
      <w:numFmt w:val="lowerLetter"/>
      <w:lvlText w:val="%1."/>
      <w:lvlJc w:val="left"/>
      <w:pPr>
        <w:ind w:left="792" w:hanging="360"/>
      </w:pPr>
    </w:lvl>
    <w:lvl w:ilvl="1" w:tentative="0">
      <w:start w:val="1"/>
      <w:numFmt w:val="lowerLetter"/>
      <w:lvlText w:val="%2."/>
      <w:lvlJc w:val="left"/>
      <w:pPr>
        <w:ind w:left="1512" w:hanging="360"/>
      </w:pPr>
    </w:lvl>
    <w:lvl w:ilvl="2" w:tentative="0">
      <w:start w:val="1"/>
      <w:numFmt w:val="lowerRoman"/>
      <w:lvlText w:val="%3."/>
      <w:lvlJc w:val="right"/>
      <w:pPr>
        <w:ind w:left="2232" w:hanging="180"/>
      </w:pPr>
    </w:lvl>
    <w:lvl w:ilvl="3" w:tentative="0">
      <w:start w:val="1"/>
      <w:numFmt w:val="decimal"/>
      <w:lvlText w:val="%4."/>
      <w:lvlJc w:val="left"/>
      <w:pPr>
        <w:ind w:left="2952" w:hanging="360"/>
      </w:pPr>
    </w:lvl>
    <w:lvl w:ilvl="4" w:tentative="0">
      <w:start w:val="1"/>
      <w:numFmt w:val="lowerLetter"/>
      <w:lvlText w:val="%5."/>
      <w:lvlJc w:val="left"/>
      <w:pPr>
        <w:ind w:left="3672" w:hanging="360"/>
      </w:pPr>
    </w:lvl>
    <w:lvl w:ilvl="5" w:tentative="0">
      <w:start w:val="1"/>
      <w:numFmt w:val="lowerRoman"/>
      <w:lvlText w:val="%6."/>
      <w:lvlJc w:val="right"/>
      <w:pPr>
        <w:ind w:left="4392" w:hanging="180"/>
      </w:pPr>
    </w:lvl>
    <w:lvl w:ilvl="6" w:tentative="0">
      <w:start w:val="1"/>
      <w:numFmt w:val="decimal"/>
      <w:lvlText w:val="%7."/>
      <w:lvlJc w:val="left"/>
      <w:pPr>
        <w:ind w:left="5112" w:hanging="360"/>
      </w:pPr>
    </w:lvl>
    <w:lvl w:ilvl="7" w:tentative="0">
      <w:start w:val="1"/>
      <w:numFmt w:val="lowerLetter"/>
      <w:lvlText w:val="%8."/>
      <w:lvlJc w:val="left"/>
      <w:pPr>
        <w:ind w:left="5832" w:hanging="360"/>
      </w:pPr>
    </w:lvl>
    <w:lvl w:ilvl="8" w:tentative="0">
      <w:start w:val="1"/>
      <w:numFmt w:val="lowerRoman"/>
      <w:lvlText w:val="%9."/>
      <w:lvlJc w:val="right"/>
      <w:pPr>
        <w:ind w:left="6552" w:hanging="180"/>
      </w:pPr>
    </w:lvl>
  </w:abstractNum>
  <w:abstractNum w:abstractNumId="41">
    <w:nsid w:val="629EDC70"/>
    <w:multiLevelType w:val="multilevel"/>
    <w:tmpl w:val="629EDC7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2">
    <w:nsid w:val="64A4CAEF"/>
    <w:multiLevelType w:val="multilevel"/>
    <w:tmpl w:val="64A4CAEF"/>
    <w:lvl w:ilvl="0" w:tentative="0">
      <w:start w:val="1"/>
      <w:numFmt w:val="decimal"/>
      <w:lvlText w:val="%1."/>
      <w:lvlJc w:val="left"/>
      <w:pPr>
        <w:ind w:left="504" w:hanging="360"/>
      </w:pPr>
    </w:lvl>
    <w:lvl w:ilvl="1" w:tentative="0">
      <w:start w:val="1"/>
      <w:numFmt w:val="lowerLetter"/>
      <w:lvlText w:val="%2."/>
      <w:lvlJc w:val="left"/>
      <w:pPr>
        <w:ind w:left="1224" w:hanging="360"/>
      </w:pPr>
    </w:lvl>
    <w:lvl w:ilvl="2" w:tentative="0">
      <w:start w:val="1"/>
      <w:numFmt w:val="lowerRoman"/>
      <w:lvlText w:val="%3."/>
      <w:lvlJc w:val="right"/>
      <w:pPr>
        <w:ind w:left="1944" w:hanging="180"/>
      </w:pPr>
    </w:lvl>
    <w:lvl w:ilvl="3" w:tentative="0">
      <w:start w:val="1"/>
      <w:numFmt w:val="decimal"/>
      <w:lvlText w:val="%4."/>
      <w:lvlJc w:val="left"/>
      <w:pPr>
        <w:ind w:left="2664" w:hanging="360"/>
      </w:pPr>
    </w:lvl>
    <w:lvl w:ilvl="4" w:tentative="0">
      <w:start w:val="1"/>
      <w:numFmt w:val="lowerLetter"/>
      <w:lvlText w:val="%5."/>
      <w:lvlJc w:val="left"/>
      <w:pPr>
        <w:ind w:left="3384" w:hanging="360"/>
      </w:pPr>
    </w:lvl>
    <w:lvl w:ilvl="5" w:tentative="0">
      <w:start w:val="1"/>
      <w:numFmt w:val="lowerRoman"/>
      <w:lvlText w:val="%6."/>
      <w:lvlJc w:val="right"/>
      <w:pPr>
        <w:ind w:left="4104" w:hanging="180"/>
      </w:pPr>
    </w:lvl>
    <w:lvl w:ilvl="6" w:tentative="0">
      <w:start w:val="1"/>
      <w:numFmt w:val="decimal"/>
      <w:lvlText w:val="%7."/>
      <w:lvlJc w:val="left"/>
      <w:pPr>
        <w:ind w:left="4824" w:hanging="360"/>
      </w:pPr>
    </w:lvl>
    <w:lvl w:ilvl="7" w:tentative="0">
      <w:start w:val="1"/>
      <w:numFmt w:val="lowerLetter"/>
      <w:lvlText w:val="%8."/>
      <w:lvlJc w:val="left"/>
      <w:pPr>
        <w:ind w:left="5544" w:hanging="360"/>
      </w:pPr>
    </w:lvl>
    <w:lvl w:ilvl="8" w:tentative="0">
      <w:start w:val="1"/>
      <w:numFmt w:val="lowerRoman"/>
      <w:lvlText w:val="%9."/>
      <w:lvlJc w:val="right"/>
      <w:pPr>
        <w:ind w:left="6264" w:hanging="180"/>
      </w:pPr>
    </w:lvl>
  </w:abstractNum>
  <w:abstractNum w:abstractNumId="43">
    <w:nsid w:val="70E2632C"/>
    <w:multiLevelType w:val="multilevel"/>
    <w:tmpl w:val="70E2632C"/>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720914AB"/>
    <w:multiLevelType w:val="multilevel"/>
    <w:tmpl w:val="720914A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72451F1D"/>
    <w:multiLevelType w:val="multilevel"/>
    <w:tmpl w:val="72451F1D"/>
    <w:lvl w:ilvl="0" w:tentative="0">
      <w:start w:val="1"/>
      <w:numFmt w:val="lowerLetter"/>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6">
    <w:nsid w:val="7CB46909"/>
    <w:multiLevelType w:val="multilevel"/>
    <w:tmpl w:val="7CB46909"/>
    <w:lvl w:ilvl="0" w:tentative="0">
      <w:start w:val="0"/>
      <w:numFmt w:val="bullet"/>
      <w:lvlText w:val="•"/>
      <w:lvlJc w:val="left"/>
      <w:pPr>
        <w:ind w:left="1080" w:hanging="720"/>
      </w:pPr>
      <w:rPr>
        <w:rFonts w:hint="default" w:ascii="Calibri" w:hAnsi="Calibri" w:cs="Calibri"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7">
    <w:nsid w:val="7D2F092A"/>
    <w:multiLevelType w:val="multilevel"/>
    <w:tmpl w:val="7D2F092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7FE30C4C"/>
    <w:multiLevelType w:val="multilevel"/>
    <w:tmpl w:val="7FE30C4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33"/>
  </w:num>
  <w:num w:numId="2">
    <w:abstractNumId w:val="15"/>
  </w:num>
  <w:num w:numId="3">
    <w:abstractNumId w:val="28"/>
  </w:num>
  <w:num w:numId="4">
    <w:abstractNumId w:val="17"/>
  </w:num>
  <w:num w:numId="5">
    <w:abstractNumId w:val="46"/>
  </w:num>
  <w:num w:numId="6">
    <w:abstractNumId w:val="14"/>
  </w:num>
  <w:num w:numId="7">
    <w:abstractNumId w:val="35"/>
  </w:num>
  <w:num w:numId="8">
    <w:abstractNumId w:val="26"/>
  </w:num>
  <w:num w:numId="9">
    <w:abstractNumId w:val="37"/>
  </w:num>
  <w:num w:numId="10">
    <w:abstractNumId w:val="29"/>
  </w:num>
  <w:num w:numId="11">
    <w:abstractNumId w:val="33"/>
    <w:lvlOverride w:ilvl="0">
      <w:startOverride w:val="1"/>
    </w:lvlOverride>
  </w:num>
  <w:num w:numId="12">
    <w:abstractNumId w:val="9"/>
  </w:num>
  <w:num w:numId="13">
    <w:abstractNumId w:val="48"/>
  </w:num>
  <w:num w:numId="14">
    <w:abstractNumId w:val="31"/>
  </w:num>
  <w:num w:numId="15">
    <w:abstractNumId w:val="6"/>
  </w:num>
  <w:num w:numId="16">
    <w:abstractNumId w:val="44"/>
  </w:num>
  <w:num w:numId="17">
    <w:abstractNumId w:val="1"/>
  </w:num>
  <w:num w:numId="18">
    <w:abstractNumId w:val="5"/>
  </w:num>
  <w:num w:numId="19">
    <w:abstractNumId w:val="2"/>
  </w:num>
  <w:num w:numId="20">
    <w:abstractNumId w:val="20"/>
  </w:num>
  <w:num w:numId="21">
    <w:abstractNumId w:val="45"/>
  </w:num>
  <w:num w:numId="22">
    <w:abstractNumId w:val="16"/>
  </w:num>
  <w:num w:numId="23">
    <w:abstractNumId w:val="47"/>
  </w:num>
  <w:num w:numId="24">
    <w:abstractNumId w:val="40"/>
  </w:num>
  <w:num w:numId="25">
    <w:abstractNumId w:val="11"/>
  </w:num>
  <w:num w:numId="26">
    <w:abstractNumId w:val="18"/>
  </w:num>
  <w:num w:numId="27">
    <w:abstractNumId w:val="22"/>
  </w:num>
  <w:num w:numId="28">
    <w:abstractNumId w:val="4"/>
  </w:num>
  <w:num w:numId="29">
    <w:abstractNumId w:val="21"/>
  </w:num>
  <w:num w:numId="30">
    <w:abstractNumId w:val="30"/>
  </w:num>
  <w:num w:numId="31">
    <w:abstractNumId w:val="8"/>
  </w:num>
  <w:num w:numId="32">
    <w:abstractNumId w:val="12"/>
  </w:num>
  <w:num w:numId="33">
    <w:abstractNumId w:val="7"/>
  </w:num>
  <w:num w:numId="34">
    <w:abstractNumId w:val="25"/>
  </w:num>
  <w:num w:numId="35">
    <w:abstractNumId w:val="32"/>
  </w:num>
  <w:num w:numId="36">
    <w:abstractNumId w:val="23"/>
  </w:num>
  <w:num w:numId="37">
    <w:abstractNumId w:val="38"/>
  </w:num>
  <w:num w:numId="38">
    <w:abstractNumId w:val="19"/>
  </w:num>
  <w:num w:numId="39">
    <w:abstractNumId w:val="27"/>
  </w:num>
  <w:num w:numId="40">
    <w:abstractNumId w:val="0"/>
  </w:num>
  <w:num w:numId="41">
    <w:abstractNumId w:val="36"/>
  </w:num>
  <w:num w:numId="42">
    <w:abstractNumId w:val="3"/>
  </w:num>
  <w:num w:numId="43">
    <w:abstractNumId w:val="43"/>
  </w:num>
  <w:num w:numId="44">
    <w:abstractNumId w:val="39"/>
  </w:num>
  <w:num w:numId="45">
    <w:abstractNumId w:val="10"/>
  </w:num>
  <w:num w:numId="46">
    <w:abstractNumId w:val="13"/>
  </w:num>
  <w:num w:numId="47">
    <w:abstractNumId w:val="41"/>
  </w:num>
  <w:num w:numId="48">
    <w:abstractNumId w:val="34"/>
  </w:num>
  <w:num w:numId="49">
    <w:abstractNumId w:val="42"/>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720"/>
  <w:characterSpacingControl w:val="doNotCompress"/>
  <w:footnotePr>
    <w:footnote w:id="14"/>
    <w:footnote w:id="15"/>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e3NLQwMrI0NTY2MTdX0lEKTi0uzszPAykwqgUAvD39GSwAAAA="/>
  </w:docVars>
  <w:rsids>
    <w:rsidRoot w:val="007F29BA"/>
    <w:rsid w:val="00000307"/>
    <w:rsid w:val="0000119D"/>
    <w:rsid w:val="000067ED"/>
    <w:rsid w:val="00011CA9"/>
    <w:rsid w:val="00013383"/>
    <w:rsid w:val="0001386F"/>
    <w:rsid w:val="000151EF"/>
    <w:rsid w:val="0002017C"/>
    <w:rsid w:val="00020A6B"/>
    <w:rsid w:val="00020CCF"/>
    <w:rsid w:val="00021E12"/>
    <w:rsid w:val="00023DB4"/>
    <w:rsid w:val="00024CA3"/>
    <w:rsid w:val="00025BEC"/>
    <w:rsid w:val="00026845"/>
    <w:rsid w:val="000276D1"/>
    <w:rsid w:val="00031732"/>
    <w:rsid w:val="00034A4D"/>
    <w:rsid w:val="00034D65"/>
    <w:rsid w:val="000350B2"/>
    <w:rsid w:val="00035EB7"/>
    <w:rsid w:val="00036033"/>
    <w:rsid w:val="00036581"/>
    <w:rsid w:val="00037873"/>
    <w:rsid w:val="000417C3"/>
    <w:rsid w:val="000425DE"/>
    <w:rsid w:val="00052574"/>
    <w:rsid w:val="000560FA"/>
    <w:rsid w:val="000618C7"/>
    <w:rsid w:val="000619D1"/>
    <w:rsid w:val="000642DE"/>
    <w:rsid w:val="00065C56"/>
    <w:rsid w:val="00066B58"/>
    <w:rsid w:val="00073E0E"/>
    <w:rsid w:val="000743AF"/>
    <w:rsid w:val="000748D5"/>
    <w:rsid w:val="000768FF"/>
    <w:rsid w:val="00076DC2"/>
    <w:rsid w:val="0008153D"/>
    <w:rsid w:val="0008445F"/>
    <w:rsid w:val="00087BDB"/>
    <w:rsid w:val="00090A29"/>
    <w:rsid w:val="00091B6F"/>
    <w:rsid w:val="00091EB9"/>
    <w:rsid w:val="000924E7"/>
    <w:rsid w:val="000933C5"/>
    <w:rsid w:val="000971BC"/>
    <w:rsid w:val="000A1EC4"/>
    <w:rsid w:val="000A2CE8"/>
    <w:rsid w:val="000A2D5A"/>
    <w:rsid w:val="000A31C6"/>
    <w:rsid w:val="000A66AB"/>
    <w:rsid w:val="000A7F91"/>
    <w:rsid w:val="000B1537"/>
    <w:rsid w:val="000B1591"/>
    <w:rsid w:val="000B29E9"/>
    <w:rsid w:val="000B72A5"/>
    <w:rsid w:val="000C2183"/>
    <w:rsid w:val="000C3459"/>
    <w:rsid w:val="000C45A1"/>
    <w:rsid w:val="000C6279"/>
    <w:rsid w:val="000C7154"/>
    <w:rsid w:val="000D157C"/>
    <w:rsid w:val="000D5DD1"/>
    <w:rsid w:val="000D7C1C"/>
    <w:rsid w:val="000E4166"/>
    <w:rsid w:val="000E6ED7"/>
    <w:rsid w:val="000F223C"/>
    <w:rsid w:val="000F3B90"/>
    <w:rsid w:val="000F62E2"/>
    <w:rsid w:val="000F75E7"/>
    <w:rsid w:val="00102E85"/>
    <w:rsid w:val="00105E60"/>
    <w:rsid w:val="00107281"/>
    <w:rsid w:val="00107AE1"/>
    <w:rsid w:val="00117733"/>
    <w:rsid w:val="00117F12"/>
    <w:rsid w:val="0012212F"/>
    <w:rsid w:val="00122B61"/>
    <w:rsid w:val="00123E9C"/>
    <w:rsid w:val="0012562F"/>
    <w:rsid w:val="00125C7C"/>
    <w:rsid w:val="00127373"/>
    <w:rsid w:val="00131117"/>
    <w:rsid w:val="00132A6E"/>
    <w:rsid w:val="00135A8A"/>
    <w:rsid w:val="001419D9"/>
    <w:rsid w:val="0014319A"/>
    <w:rsid w:val="001432A9"/>
    <w:rsid w:val="00143D92"/>
    <w:rsid w:val="00144A4C"/>
    <w:rsid w:val="00145D0D"/>
    <w:rsid w:val="001567AD"/>
    <w:rsid w:val="001568DD"/>
    <w:rsid w:val="0016117C"/>
    <w:rsid w:val="00163D73"/>
    <w:rsid w:val="001648CA"/>
    <w:rsid w:val="00165D05"/>
    <w:rsid w:val="00166109"/>
    <w:rsid w:val="00166869"/>
    <w:rsid w:val="001669B7"/>
    <w:rsid w:val="00167B9D"/>
    <w:rsid w:val="0017357C"/>
    <w:rsid w:val="00175131"/>
    <w:rsid w:val="00175F2F"/>
    <w:rsid w:val="00183334"/>
    <w:rsid w:val="0019646F"/>
    <w:rsid w:val="001A19D1"/>
    <w:rsid w:val="001A38EA"/>
    <w:rsid w:val="001A3B75"/>
    <w:rsid w:val="001A7CD7"/>
    <w:rsid w:val="001B0F63"/>
    <w:rsid w:val="001B110C"/>
    <w:rsid w:val="001B2FC7"/>
    <w:rsid w:val="001B3322"/>
    <w:rsid w:val="001B3897"/>
    <w:rsid w:val="001B3C58"/>
    <w:rsid w:val="001B4279"/>
    <w:rsid w:val="001B4925"/>
    <w:rsid w:val="001B5357"/>
    <w:rsid w:val="001C5202"/>
    <w:rsid w:val="001C5913"/>
    <w:rsid w:val="001C5A74"/>
    <w:rsid w:val="001C6F86"/>
    <w:rsid w:val="001D2F88"/>
    <w:rsid w:val="001D4E06"/>
    <w:rsid w:val="001D59A5"/>
    <w:rsid w:val="001D703F"/>
    <w:rsid w:val="001E2EC5"/>
    <w:rsid w:val="001E312E"/>
    <w:rsid w:val="001E601A"/>
    <w:rsid w:val="001F109A"/>
    <w:rsid w:val="001F20CB"/>
    <w:rsid w:val="001F3631"/>
    <w:rsid w:val="001F4F87"/>
    <w:rsid w:val="001F5090"/>
    <w:rsid w:val="001F5EA4"/>
    <w:rsid w:val="001F7995"/>
    <w:rsid w:val="0020451A"/>
    <w:rsid w:val="0020625C"/>
    <w:rsid w:val="00207126"/>
    <w:rsid w:val="00207352"/>
    <w:rsid w:val="00214BC5"/>
    <w:rsid w:val="00215F31"/>
    <w:rsid w:val="00216C02"/>
    <w:rsid w:val="00220E84"/>
    <w:rsid w:val="00221C52"/>
    <w:rsid w:val="00222A16"/>
    <w:rsid w:val="002244AC"/>
    <w:rsid w:val="00225179"/>
    <w:rsid w:val="0022640D"/>
    <w:rsid w:val="0023087D"/>
    <w:rsid w:val="00231DEB"/>
    <w:rsid w:val="00234FF5"/>
    <w:rsid w:val="00235708"/>
    <w:rsid w:val="00240313"/>
    <w:rsid w:val="002427CC"/>
    <w:rsid w:val="00243F2A"/>
    <w:rsid w:val="00243F4B"/>
    <w:rsid w:val="00244525"/>
    <w:rsid w:val="00244970"/>
    <w:rsid w:val="00244ADF"/>
    <w:rsid w:val="002451C9"/>
    <w:rsid w:val="00245646"/>
    <w:rsid w:val="00251160"/>
    <w:rsid w:val="00253134"/>
    <w:rsid w:val="002558E3"/>
    <w:rsid w:val="00260053"/>
    <w:rsid w:val="00261765"/>
    <w:rsid w:val="00266B29"/>
    <w:rsid w:val="00274323"/>
    <w:rsid w:val="00277FB7"/>
    <w:rsid w:val="00291421"/>
    <w:rsid w:val="00292C25"/>
    <w:rsid w:val="0029340D"/>
    <w:rsid w:val="002939A7"/>
    <w:rsid w:val="002955A1"/>
    <w:rsid w:val="002A2146"/>
    <w:rsid w:val="002A386A"/>
    <w:rsid w:val="002A4949"/>
    <w:rsid w:val="002A5707"/>
    <w:rsid w:val="002B31B0"/>
    <w:rsid w:val="002B3524"/>
    <w:rsid w:val="002B383D"/>
    <w:rsid w:val="002B40BA"/>
    <w:rsid w:val="002B4A44"/>
    <w:rsid w:val="002B5A66"/>
    <w:rsid w:val="002B68F4"/>
    <w:rsid w:val="002C03FA"/>
    <w:rsid w:val="002C0F60"/>
    <w:rsid w:val="002C2AC5"/>
    <w:rsid w:val="002C433B"/>
    <w:rsid w:val="002C65A7"/>
    <w:rsid w:val="002C7626"/>
    <w:rsid w:val="002D3FA2"/>
    <w:rsid w:val="002D56F2"/>
    <w:rsid w:val="002E3D42"/>
    <w:rsid w:val="002E3D96"/>
    <w:rsid w:val="002E4260"/>
    <w:rsid w:val="002E537C"/>
    <w:rsid w:val="002F1A35"/>
    <w:rsid w:val="002F26CF"/>
    <w:rsid w:val="002F513B"/>
    <w:rsid w:val="002F5E3C"/>
    <w:rsid w:val="003007E3"/>
    <w:rsid w:val="00301704"/>
    <w:rsid w:val="00302C03"/>
    <w:rsid w:val="003033C5"/>
    <w:rsid w:val="00304BF9"/>
    <w:rsid w:val="00307F89"/>
    <w:rsid w:val="00313B4D"/>
    <w:rsid w:val="003143CE"/>
    <w:rsid w:val="003172E3"/>
    <w:rsid w:val="003212B2"/>
    <w:rsid w:val="00322D6B"/>
    <w:rsid w:val="00323993"/>
    <w:rsid w:val="00327DA1"/>
    <w:rsid w:val="00331ADC"/>
    <w:rsid w:val="00332100"/>
    <w:rsid w:val="0033306F"/>
    <w:rsid w:val="00336AEE"/>
    <w:rsid w:val="00340E16"/>
    <w:rsid w:val="00345BAB"/>
    <w:rsid w:val="003511D8"/>
    <w:rsid w:val="00351753"/>
    <w:rsid w:val="003559D1"/>
    <w:rsid w:val="00356B5C"/>
    <w:rsid w:val="00361019"/>
    <w:rsid w:val="00361F61"/>
    <w:rsid w:val="0036315A"/>
    <w:rsid w:val="0036546F"/>
    <w:rsid w:val="00366B08"/>
    <w:rsid w:val="0036792A"/>
    <w:rsid w:val="00367BA3"/>
    <w:rsid w:val="0037109E"/>
    <w:rsid w:val="003720C7"/>
    <w:rsid w:val="00374284"/>
    <w:rsid w:val="003757AC"/>
    <w:rsid w:val="00375F32"/>
    <w:rsid w:val="0037769A"/>
    <w:rsid w:val="00382206"/>
    <w:rsid w:val="003830CA"/>
    <w:rsid w:val="003948C9"/>
    <w:rsid w:val="003950BF"/>
    <w:rsid w:val="003A0EEC"/>
    <w:rsid w:val="003A3DDE"/>
    <w:rsid w:val="003A3EF1"/>
    <w:rsid w:val="003B320A"/>
    <w:rsid w:val="003B54AE"/>
    <w:rsid w:val="003B6BFE"/>
    <w:rsid w:val="003B75BE"/>
    <w:rsid w:val="003B7803"/>
    <w:rsid w:val="003B78E9"/>
    <w:rsid w:val="003C017F"/>
    <w:rsid w:val="003C122C"/>
    <w:rsid w:val="003C65C7"/>
    <w:rsid w:val="003C6B13"/>
    <w:rsid w:val="003C6F76"/>
    <w:rsid w:val="003C7AA8"/>
    <w:rsid w:val="003D055E"/>
    <w:rsid w:val="003D0A07"/>
    <w:rsid w:val="003D1A80"/>
    <w:rsid w:val="003D298E"/>
    <w:rsid w:val="003D3294"/>
    <w:rsid w:val="003D70C7"/>
    <w:rsid w:val="003D7BBA"/>
    <w:rsid w:val="003D7D37"/>
    <w:rsid w:val="003E1265"/>
    <w:rsid w:val="003E2822"/>
    <w:rsid w:val="003E401C"/>
    <w:rsid w:val="003E5178"/>
    <w:rsid w:val="003E54F4"/>
    <w:rsid w:val="003E57CC"/>
    <w:rsid w:val="003F231A"/>
    <w:rsid w:val="003F4730"/>
    <w:rsid w:val="003F65BC"/>
    <w:rsid w:val="003F6ED2"/>
    <w:rsid w:val="003F70F5"/>
    <w:rsid w:val="003F7ADA"/>
    <w:rsid w:val="00403A55"/>
    <w:rsid w:val="00403E24"/>
    <w:rsid w:val="00411203"/>
    <w:rsid w:val="00416BC5"/>
    <w:rsid w:val="00417D8E"/>
    <w:rsid w:val="004243EC"/>
    <w:rsid w:val="00424CAA"/>
    <w:rsid w:val="00425351"/>
    <w:rsid w:val="004263FB"/>
    <w:rsid w:val="00427AB4"/>
    <w:rsid w:val="00430653"/>
    <w:rsid w:val="00430A0C"/>
    <w:rsid w:val="004329E8"/>
    <w:rsid w:val="00437507"/>
    <w:rsid w:val="00440FF0"/>
    <w:rsid w:val="00442ABF"/>
    <w:rsid w:val="004445C8"/>
    <w:rsid w:val="0044465D"/>
    <w:rsid w:val="00444809"/>
    <w:rsid w:val="00444E68"/>
    <w:rsid w:val="00446ED9"/>
    <w:rsid w:val="00450662"/>
    <w:rsid w:val="00450C8B"/>
    <w:rsid w:val="00451E96"/>
    <w:rsid w:val="00453890"/>
    <w:rsid w:val="00453986"/>
    <w:rsid w:val="00456546"/>
    <w:rsid w:val="0045665C"/>
    <w:rsid w:val="00457B34"/>
    <w:rsid w:val="00461D7E"/>
    <w:rsid w:val="00461E78"/>
    <w:rsid w:val="00463606"/>
    <w:rsid w:val="004665CF"/>
    <w:rsid w:val="004676D9"/>
    <w:rsid w:val="00471969"/>
    <w:rsid w:val="004724B1"/>
    <w:rsid w:val="004737DD"/>
    <w:rsid w:val="00475F4A"/>
    <w:rsid w:val="004762BC"/>
    <w:rsid w:val="00480AC5"/>
    <w:rsid w:val="00483860"/>
    <w:rsid w:val="0048492C"/>
    <w:rsid w:val="0049172B"/>
    <w:rsid w:val="004937B1"/>
    <w:rsid w:val="00496579"/>
    <w:rsid w:val="00496802"/>
    <w:rsid w:val="00497262"/>
    <w:rsid w:val="004A0D34"/>
    <w:rsid w:val="004A2F08"/>
    <w:rsid w:val="004B071B"/>
    <w:rsid w:val="004B1A95"/>
    <w:rsid w:val="004B3B87"/>
    <w:rsid w:val="004B43D9"/>
    <w:rsid w:val="004B4EA4"/>
    <w:rsid w:val="004B593F"/>
    <w:rsid w:val="004B6614"/>
    <w:rsid w:val="004B7A49"/>
    <w:rsid w:val="004C0213"/>
    <w:rsid w:val="004C5023"/>
    <w:rsid w:val="004C5F53"/>
    <w:rsid w:val="004C7B87"/>
    <w:rsid w:val="004D00E2"/>
    <w:rsid w:val="004D472F"/>
    <w:rsid w:val="004D477B"/>
    <w:rsid w:val="004D50D7"/>
    <w:rsid w:val="004E0A56"/>
    <w:rsid w:val="004E252D"/>
    <w:rsid w:val="004E3AB1"/>
    <w:rsid w:val="004E4671"/>
    <w:rsid w:val="004E76F0"/>
    <w:rsid w:val="004F14A5"/>
    <w:rsid w:val="004F7BF9"/>
    <w:rsid w:val="004F7FDE"/>
    <w:rsid w:val="00500147"/>
    <w:rsid w:val="00503870"/>
    <w:rsid w:val="005042B6"/>
    <w:rsid w:val="00504A90"/>
    <w:rsid w:val="005079AF"/>
    <w:rsid w:val="00507EDA"/>
    <w:rsid w:val="00510056"/>
    <w:rsid w:val="00511F23"/>
    <w:rsid w:val="00513340"/>
    <w:rsid w:val="00514027"/>
    <w:rsid w:val="00514E7F"/>
    <w:rsid w:val="00515025"/>
    <w:rsid w:val="00517A5A"/>
    <w:rsid w:val="005231CA"/>
    <w:rsid w:val="0052513F"/>
    <w:rsid w:val="005251B0"/>
    <w:rsid w:val="0052650A"/>
    <w:rsid w:val="00530479"/>
    <w:rsid w:val="00530C59"/>
    <w:rsid w:val="00531C23"/>
    <w:rsid w:val="005338E5"/>
    <w:rsid w:val="005339BF"/>
    <w:rsid w:val="00534628"/>
    <w:rsid w:val="005358DA"/>
    <w:rsid w:val="00537499"/>
    <w:rsid w:val="005403A6"/>
    <w:rsid w:val="00541919"/>
    <w:rsid w:val="00541AED"/>
    <w:rsid w:val="00542F19"/>
    <w:rsid w:val="00547E1C"/>
    <w:rsid w:val="005517BE"/>
    <w:rsid w:val="00552E73"/>
    <w:rsid w:val="00553D84"/>
    <w:rsid w:val="00554706"/>
    <w:rsid w:val="00556630"/>
    <w:rsid w:val="00556D21"/>
    <w:rsid w:val="00557092"/>
    <w:rsid w:val="00560A36"/>
    <w:rsid w:val="00560EE2"/>
    <w:rsid w:val="00564B1D"/>
    <w:rsid w:val="00566F2C"/>
    <w:rsid w:val="0057140C"/>
    <w:rsid w:val="0057174A"/>
    <w:rsid w:val="00572383"/>
    <w:rsid w:val="0057312A"/>
    <w:rsid w:val="0057799C"/>
    <w:rsid w:val="005823E4"/>
    <w:rsid w:val="00584211"/>
    <w:rsid w:val="00586148"/>
    <w:rsid w:val="005958DA"/>
    <w:rsid w:val="00596458"/>
    <w:rsid w:val="005A0271"/>
    <w:rsid w:val="005A2B1C"/>
    <w:rsid w:val="005A4324"/>
    <w:rsid w:val="005A7088"/>
    <w:rsid w:val="005A739B"/>
    <w:rsid w:val="005B0267"/>
    <w:rsid w:val="005B0F69"/>
    <w:rsid w:val="005B4FA5"/>
    <w:rsid w:val="005C5045"/>
    <w:rsid w:val="005D0D10"/>
    <w:rsid w:val="005D2553"/>
    <w:rsid w:val="005D2729"/>
    <w:rsid w:val="005D29E1"/>
    <w:rsid w:val="005D4B46"/>
    <w:rsid w:val="005D77C1"/>
    <w:rsid w:val="005D7F0E"/>
    <w:rsid w:val="005E0521"/>
    <w:rsid w:val="005E2A19"/>
    <w:rsid w:val="005E40A1"/>
    <w:rsid w:val="005E6C75"/>
    <w:rsid w:val="005F0DC1"/>
    <w:rsid w:val="005F2081"/>
    <w:rsid w:val="005F32F3"/>
    <w:rsid w:val="005F3E9A"/>
    <w:rsid w:val="00600201"/>
    <w:rsid w:val="00600F1D"/>
    <w:rsid w:val="00600F61"/>
    <w:rsid w:val="006010B9"/>
    <w:rsid w:val="006022D5"/>
    <w:rsid w:val="006033D3"/>
    <w:rsid w:val="006068C2"/>
    <w:rsid w:val="00606CDE"/>
    <w:rsid w:val="00610658"/>
    <w:rsid w:val="00617E3B"/>
    <w:rsid w:val="006208F5"/>
    <w:rsid w:val="00622E30"/>
    <w:rsid w:val="006232DB"/>
    <w:rsid w:val="00625C02"/>
    <w:rsid w:val="0062659D"/>
    <w:rsid w:val="00626E01"/>
    <w:rsid w:val="0063155E"/>
    <w:rsid w:val="00636BF1"/>
    <w:rsid w:val="00641A15"/>
    <w:rsid w:val="00644981"/>
    <w:rsid w:val="006455B5"/>
    <w:rsid w:val="00645909"/>
    <w:rsid w:val="00645BD6"/>
    <w:rsid w:val="00646DCD"/>
    <w:rsid w:val="006472E6"/>
    <w:rsid w:val="00647F61"/>
    <w:rsid w:val="006572DC"/>
    <w:rsid w:val="0066061D"/>
    <w:rsid w:val="006677B2"/>
    <w:rsid w:val="006705A6"/>
    <w:rsid w:val="0067296F"/>
    <w:rsid w:val="00675278"/>
    <w:rsid w:val="006759D5"/>
    <w:rsid w:val="006761F8"/>
    <w:rsid w:val="00677443"/>
    <w:rsid w:val="006808CB"/>
    <w:rsid w:val="0068141D"/>
    <w:rsid w:val="006817E3"/>
    <w:rsid w:val="00682049"/>
    <w:rsid w:val="006904C1"/>
    <w:rsid w:val="00690C5B"/>
    <w:rsid w:val="006912CF"/>
    <w:rsid w:val="00694694"/>
    <w:rsid w:val="006A0B7C"/>
    <w:rsid w:val="006A1485"/>
    <w:rsid w:val="006A220B"/>
    <w:rsid w:val="006A32F5"/>
    <w:rsid w:val="006A5C2C"/>
    <w:rsid w:val="006A6447"/>
    <w:rsid w:val="006A6752"/>
    <w:rsid w:val="006B324D"/>
    <w:rsid w:val="006B3298"/>
    <w:rsid w:val="006C2E7B"/>
    <w:rsid w:val="006C30BA"/>
    <w:rsid w:val="006C49DF"/>
    <w:rsid w:val="006C5428"/>
    <w:rsid w:val="006C6834"/>
    <w:rsid w:val="006D1625"/>
    <w:rsid w:val="006D3106"/>
    <w:rsid w:val="006D5EBE"/>
    <w:rsid w:val="006D6896"/>
    <w:rsid w:val="006E2273"/>
    <w:rsid w:val="006E49C2"/>
    <w:rsid w:val="006E7BF9"/>
    <w:rsid w:val="006F0706"/>
    <w:rsid w:val="006F35CC"/>
    <w:rsid w:val="0070558E"/>
    <w:rsid w:val="00705637"/>
    <w:rsid w:val="0070662C"/>
    <w:rsid w:val="00710CD3"/>
    <w:rsid w:val="00713D77"/>
    <w:rsid w:val="00715032"/>
    <w:rsid w:val="007168BA"/>
    <w:rsid w:val="00716A01"/>
    <w:rsid w:val="00723B88"/>
    <w:rsid w:val="007264A0"/>
    <w:rsid w:val="007272BB"/>
    <w:rsid w:val="00732B44"/>
    <w:rsid w:val="00735E70"/>
    <w:rsid w:val="00737453"/>
    <w:rsid w:val="00737E3A"/>
    <w:rsid w:val="00737EC2"/>
    <w:rsid w:val="00741538"/>
    <w:rsid w:val="00742B7B"/>
    <w:rsid w:val="0074672B"/>
    <w:rsid w:val="00752D15"/>
    <w:rsid w:val="00752DA9"/>
    <w:rsid w:val="007531C9"/>
    <w:rsid w:val="0075432D"/>
    <w:rsid w:val="007549F8"/>
    <w:rsid w:val="00754DE5"/>
    <w:rsid w:val="00755070"/>
    <w:rsid w:val="00755481"/>
    <w:rsid w:val="00761847"/>
    <w:rsid w:val="00763AE4"/>
    <w:rsid w:val="00764400"/>
    <w:rsid w:val="0076551A"/>
    <w:rsid w:val="0076671C"/>
    <w:rsid w:val="0076789A"/>
    <w:rsid w:val="00772A67"/>
    <w:rsid w:val="00772C80"/>
    <w:rsid w:val="0077704A"/>
    <w:rsid w:val="00777B8E"/>
    <w:rsid w:val="007836E8"/>
    <w:rsid w:val="007845E0"/>
    <w:rsid w:val="00784A44"/>
    <w:rsid w:val="00784A51"/>
    <w:rsid w:val="007859B0"/>
    <w:rsid w:val="00786B6D"/>
    <w:rsid w:val="00786E54"/>
    <w:rsid w:val="00793152"/>
    <w:rsid w:val="007957F9"/>
    <w:rsid w:val="0079598B"/>
    <w:rsid w:val="00795F8F"/>
    <w:rsid w:val="00796AC4"/>
    <w:rsid w:val="007A0B40"/>
    <w:rsid w:val="007A1973"/>
    <w:rsid w:val="007A2D23"/>
    <w:rsid w:val="007A32F0"/>
    <w:rsid w:val="007A518F"/>
    <w:rsid w:val="007A723D"/>
    <w:rsid w:val="007B3009"/>
    <w:rsid w:val="007B40F4"/>
    <w:rsid w:val="007B7F28"/>
    <w:rsid w:val="007C12E0"/>
    <w:rsid w:val="007C3BBA"/>
    <w:rsid w:val="007C3ECB"/>
    <w:rsid w:val="007C4B86"/>
    <w:rsid w:val="007C50CD"/>
    <w:rsid w:val="007D0264"/>
    <w:rsid w:val="007D2D21"/>
    <w:rsid w:val="007D2FEB"/>
    <w:rsid w:val="007E0CFA"/>
    <w:rsid w:val="007E0E25"/>
    <w:rsid w:val="007E205D"/>
    <w:rsid w:val="007E2BE4"/>
    <w:rsid w:val="007E63D8"/>
    <w:rsid w:val="007E79C8"/>
    <w:rsid w:val="007F170F"/>
    <w:rsid w:val="007F22CC"/>
    <w:rsid w:val="007F29BA"/>
    <w:rsid w:val="007F389C"/>
    <w:rsid w:val="007F3BA7"/>
    <w:rsid w:val="007F4413"/>
    <w:rsid w:val="007F4E46"/>
    <w:rsid w:val="00800667"/>
    <w:rsid w:val="00801A35"/>
    <w:rsid w:val="00802618"/>
    <w:rsid w:val="00802895"/>
    <w:rsid w:val="00804BB6"/>
    <w:rsid w:val="00812C17"/>
    <w:rsid w:val="008133CB"/>
    <w:rsid w:val="008140B0"/>
    <w:rsid w:val="00815CFF"/>
    <w:rsid w:val="0081693E"/>
    <w:rsid w:val="00816F19"/>
    <w:rsid w:val="00820ECE"/>
    <w:rsid w:val="008211AD"/>
    <w:rsid w:val="0082256A"/>
    <w:rsid w:val="0082441F"/>
    <w:rsid w:val="00824611"/>
    <w:rsid w:val="008313F0"/>
    <w:rsid w:val="00831CE7"/>
    <w:rsid w:val="00831D65"/>
    <w:rsid w:val="00834BC3"/>
    <w:rsid w:val="00835DB5"/>
    <w:rsid w:val="0083637A"/>
    <w:rsid w:val="008367C8"/>
    <w:rsid w:val="008422CB"/>
    <w:rsid w:val="00843332"/>
    <w:rsid w:val="00844DD3"/>
    <w:rsid w:val="0084586B"/>
    <w:rsid w:val="008463A9"/>
    <w:rsid w:val="00846817"/>
    <w:rsid w:val="00846AB0"/>
    <w:rsid w:val="0084706D"/>
    <w:rsid w:val="00847A2C"/>
    <w:rsid w:val="008519C8"/>
    <w:rsid w:val="00851DEA"/>
    <w:rsid w:val="00852902"/>
    <w:rsid w:val="00853488"/>
    <w:rsid w:val="00854BB2"/>
    <w:rsid w:val="0086077C"/>
    <w:rsid w:val="008647BA"/>
    <w:rsid w:val="00864FE6"/>
    <w:rsid w:val="00866816"/>
    <w:rsid w:val="0086690D"/>
    <w:rsid w:val="00870016"/>
    <w:rsid w:val="0087060A"/>
    <w:rsid w:val="00871AE3"/>
    <w:rsid w:val="008800EA"/>
    <w:rsid w:val="00880D00"/>
    <w:rsid w:val="00881B98"/>
    <w:rsid w:val="008822E2"/>
    <w:rsid w:val="00882FA0"/>
    <w:rsid w:val="00890FFA"/>
    <w:rsid w:val="0089133A"/>
    <w:rsid w:val="008918A8"/>
    <w:rsid w:val="008920A7"/>
    <w:rsid w:val="00893AA2"/>
    <w:rsid w:val="00894A84"/>
    <w:rsid w:val="008955DF"/>
    <w:rsid w:val="00895A30"/>
    <w:rsid w:val="00897B00"/>
    <w:rsid w:val="008A010F"/>
    <w:rsid w:val="008A0F62"/>
    <w:rsid w:val="008A4A86"/>
    <w:rsid w:val="008A50FF"/>
    <w:rsid w:val="008A7D01"/>
    <w:rsid w:val="008B0A91"/>
    <w:rsid w:val="008B20FC"/>
    <w:rsid w:val="008B2558"/>
    <w:rsid w:val="008B3485"/>
    <w:rsid w:val="008B3EB5"/>
    <w:rsid w:val="008B6904"/>
    <w:rsid w:val="008C70D7"/>
    <w:rsid w:val="008D09CF"/>
    <w:rsid w:val="008D0F64"/>
    <w:rsid w:val="008D2009"/>
    <w:rsid w:val="008D2ADF"/>
    <w:rsid w:val="008D4EE7"/>
    <w:rsid w:val="008D72CE"/>
    <w:rsid w:val="008E0CA6"/>
    <w:rsid w:val="008E167F"/>
    <w:rsid w:val="008E24DD"/>
    <w:rsid w:val="008E3848"/>
    <w:rsid w:val="008E5AD8"/>
    <w:rsid w:val="008F37A1"/>
    <w:rsid w:val="008F6E32"/>
    <w:rsid w:val="008F7C88"/>
    <w:rsid w:val="008F7F55"/>
    <w:rsid w:val="00901AA1"/>
    <w:rsid w:val="009034F3"/>
    <w:rsid w:val="0090397F"/>
    <w:rsid w:val="00903C3F"/>
    <w:rsid w:val="00915DBD"/>
    <w:rsid w:val="00916401"/>
    <w:rsid w:val="0091792E"/>
    <w:rsid w:val="0091C465"/>
    <w:rsid w:val="00920314"/>
    <w:rsid w:val="009229FF"/>
    <w:rsid w:val="00925B09"/>
    <w:rsid w:val="00925DF6"/>
    <w:rsid w:val="00926B7B"/>
    <w:rsid w:val="00927552"/>
    <w:rsid w:val="00930C62"/>
    <w:rsid w:val="0093215B"/>
    <w:rsid w:val="00932D34"/>
    <w:rsid w:val="0093583D"/>
    <w:rsid w:val="009368D5"/>
    <w:rsid w:val="0093A176"/>
    <w:rsid w:val="00942A0C"/>
    <w:rsid w:val="00955FC4"/>
    <w:rsid w:val="009562B8"/>
    <w:rsid w:val="00956B9A"/>
    <w:rsid w:val="00960A08"/>
    <w:rsid w:val="00963B7C"/>
    <w:rsid w:val="00965101"/>
    <w:rsid w:val="0097339D"/>
    <w:rsid w:val="00973434"/>
    <w:rsid w:val="00973B33"/>
    <w:rsid w:val="00973CD9"/>
    <w:rsid w:val="00977BE7"/>
    <w:rsid w:val="009800DE"/>
    <w:rsid w:val="009802C5"/>
    <w:rsid w:val="00982144"/>
    <w:rsid w:val="00986537"/>
    <w:rsid w:val="00986611"/>
    <w:rsid w:val="00992DCF"/>
    <w:rsid w:val="009945B0"/>
    <w:rsid w:val="00997E74"/>
    <w:rsid w:val="009A3B07"/>
    <w:rsid w:val="009A3DC7"/>
    <w:rsid w:val="009B48B2"/>
    <w:rsid w:val="009B4C01"/>
    <w:rsid w:val="009C3C7D"/>
    <w:rsid w:val="009C4FF8"/>
    <w:rsid w:val="009C6C2E"/>
    <w:rsid w:val="009D254F"/>
    <w:rsid w:val="009D303C"/>
    <w:rsid w:val="009D4115"/>
    <w:rsid w:val="009E0257"/>
    <w:rsid w:val="009E0716"/>
    <w:rsid w:val="009E1881"/>
    <w:rsid w:val="009E1CB8"/>
    <w:rsid w:val="009E2241"/>
    <w:rsid w:val="009E2B32"/>
    <w:rsid w:val="009E2E99"/>
    <w:rsid w:val="009E522D"/>
    <w:rsid w:val="009F2DF3"/>
    <w:rsid w:val="009F4416"/>
    <w:rsid w:val="009F77C8"/>
    <w:rsid w:val="00A022C0"/>
    <w:rsid w:val="00A02605"/>
    <w:rsid w:val="00A07770"/>
    <w:rsid w:val="00A07CF9"/>
    <w:rsid w:val="00A10866"/>
    <w:rsid w:val="00A1282F"/>
    <w:rsid w:val="00A16CF9"/>
    <w:rsid w:val="00A177BB"/>
    <w:rsid w:val="00A22925"/>
    <w:rsid w:val="00A22A4E"/>
    <w:rsid w:val="00A2346B"/>
    <w:rsid w:val="00A23B63"/>
    <w:rsid w:val="00A25003"/>
    <w:rsid w:val="00A25F66"/>
    <w:rsid w:val="00A26786"/>
    <w:rsid w:val="00A27280"/>
    <w:rsid w:val="00A3095F"/>
    <w:rsid w:val="00A30D68"/>
    <w:rsid w:val="00A314A5"/>
    <w:rsid w:val="00A320A6"/>
    <w:rsid w:val="00A339FA"/>
    <w:rsid w:val="00A34F87"/>
    <w:rsid w:val="00A36EFF"/>
    <w:rsid w:val="00A467DA"/>
    <w:rsid w:val="00A475D7"/>
    <w:rsid w:val="00A5024F"/>
    <w:rsid w:val="00A54BDA"/>
    <w:rsid w:val="00A55213"/>
    <w:rsid w:val="00A61A22"/>
    <w:rsid w:val="00A636E4"/>
    <w:rsid w:val="00A66CBA"/>
    <w:rsid w:val="00A675BF"/>
    <w:rsid w:val="00A71672"/>
    <w:rsid w:val="00A7288D"/>
    <w:rsid w:val="00A728D6"/>
    <w:rsid w:val="00A73932"/>
    <w:rsid w:val="00A73F02"/>
    <w:rsid w:val="00A75EB4"/>
    <w:rsid w:val="00A76022"/>
    <w:rsid w:val="00A8042D"/>
    <w:rsid w:val="00A81644"/>
    <w:rsid w:val="00A839A6"/>
    <w:rsid w:val="00A83D4A"/>
    <w:rsid w:val="00A8504F"/>
    <w:rsid w:val="00A86428"/>
    <w:rsid w:val="00A86947"/>
    <w:rsid w:val="00A86ED5"/>
    <w:rsid w:val="00A8771A"/>
    <w:rsid w:val="00A90EBC"/>
    <w:rsid w:val="00A91350"/>
    <w:rsid w:val="00A9564E"/>
    <w:rsid w:val="00AA2883"/>
    <w:rsid w:val="00AA4B2D"/>
    <w:rsid w:val="00AA50F6"/>
    <w:rsid w:val="00AA574F"/>
    <w:rsid w:val="00AA582C"/>
    <w:rsid w:val="00AA6477"/>
    <w:rsid w:val="00AA659F"/>
    <w:rsid w:val="00AB210F"/>
    <w:rsid w:val="00AB3AB1"/>
    <w:rsid w:val="00AB4288"/>
    <w:rsid w:val="00AB5279"/>
    <w:rsid w:val="00AB5C65"/>
    <w:rsid w:val="00AC0E5E"/>
    <w:rsid w:val="00AC0F9F"/>
    <w:rsid w:val="00AC41C0"/>
    <w:rsid w:val="00AD284B"/>
    <w:rsid w:val="00AD2E95"/>
    <w:rsid w:val="00AD5CDF"/>
    <w:rsid w:val="00AD7FD7"/>
    <w:rsid w:val="00AE1286"/>
    <w:rsid w:val="00AE4E8E"/>
    <w:rsid w:val="00AE60AE"/>
    <w:rsid w:val="00AF4905"/>
    <w:rsid w:val="00AF6616"/>
    <w:rsid w:val="00AF7818"/>
    <w:rsid w:val="00B010E2"/>
    <w:rsid w:val="00B01DF6"/>
    <w:rsid w:val="00B03786"/>
    <w:rsid w:val="00B03ECF"/>
    <w:rsid w:val="00B0451D"/>
    <w:rsid w:val="00B051A9"/>
    <w:rsid w:val="00B05392"/>
    <w:rsid w:val="00B0754C"/>
    <w:rsid w:val="00B10826"/>
    <w:rsid w:val="00B1361F"/>
    <w:rsid w:val="00B154AE"/>
    <w:rsid w:val="00B16F20"/>
    <w:rsid w:val="00B17B41"/>
    <w:rsid w:val="00B20F53"/>
    <w:rsid w:val="00B219EE"/>
    <w:rsid w:val="00B242B3"/>
    <w:rsid w:val="00B25430"/>
    <w:rsid w:val="00B27DAF"/>
    <w:rsid w:val="00B2F8A3"/>
    <w:rsid w:val="00B3433C"/>
    <w:rsid w:val="00B3510A"/>
    <w:rsid w:val="00B43157"/>
    <w:rsid w:val="00B43D40"/>
    <w:rsid w:val="00B44F1B"/>
    <w:rsid w:val="00B46F84"/>
    <w:rsid w:val="00B4752E"/>
    <w:rsid w:val="00B5365D"/>
    <w:rsid w:val="00B5455E"/>
    <w:rsid w:val="00B55270"/>
    <w:rsid w:val="00B5638D"/>
    <w:rsid w:val="00B56C06"/>
    <w:rsid w:val="00B56D0E"/>
    <w:rsid w:val="00B57030"/>
    <w:rsid w:val="00B657D7"/>
    <w:rsid w:val="00B70438"/>
    <w:rsid w:val="00B76D80"/>
    <w:rsid w:val="00B81668"/>
    <w:rsid w:val="00B83B08"/>
    <w:rsid w:val="00B840DE"/>
    <w:rsid w:val="00B8489D"/>
    <w:rsid w:val="00B86229"/>
    <w:rsid w:val="00B90A3E"/>
    <w:rsid w:val="00B90CD1"/>
    <w:rsid w:val="00B912F4"/>
    <w:rsid w:val="00B92811"/>
    <w:rsid w:val="00BA2C3F"/>
    <w:rsid w:val="00BB030C"/>
    <w:rsid w:val="00BB293A"/>
    <w:rsid w:val="00BB3332"/>
    <w:rsid w:val="00BB41EF"/>
    <w:rsid w:val="00BB538F"/>
    <w:rsid w:val="00BB5E6B"/>
    <w:rsid w:val="00BB6CDA"/>
    <w:rsid w:val="00BB6F3D"/>
    <w:rsid w:val="00BB7B3F"/>
    <w:rsid w:val="00BC03F6"/>
    <w:rsid w:val="00BC08C3"/>
    <w:rsid w:val="00BC145F"/>
    <w:rsid w:val="00BC1C69"/>
    <w:rsid w:val="00BD1BDB"/>
    <w:rsid w:val="00BD276C"/>
    <w:rsid w:val="00BD3E5F"/>
    <w:rsid w:val="00BD76EF"/>
    <w:rsid w:val="00BE0728"/>
    <w:rsid w:val="00BE34D3"/>
    <w:rsid w:val="00BE4214"/>
    <w:rsid w:val="00BE6074"/>
    <w:rsid w:val="00BE668E"/>
    <w:rsid w:val="00BE6F7B"/>
    <w:rsid w:val="00BF2487"/>
    <w:rsid w:val="00BF67C4"/>
    <w:rsid w:val="00BF67D2"/>
    <w:rsid w:val="00C00F45"/>
    <w:rsid w:val="00C04F77"/>
    <w:rsid w:val="00C05DA2"/>
    <w:rsid w:val="00C0603A"/>
    <w:rsid w:val="00C06213"/>
    <w:rsid w:val="00C10B51"/>
    <w:rsid w:val="00C11535"/>
    <w:rsid w:val="00C11883"/>
    <w:rsid w:val="00C13447"/>
    <w:rsid w:val="00C16D75"/>
    <w:rsid w:val="00C17276"/>
    <w:rsid w:val="00C220F2"/>
    <w:rsid w:val="00C229FB"/>
    <w:rsid w:val="00C24BD6"/>
    <w:rsid w:val="00C25CAA"/>
    <w:rsid w:val="00C265D1"/>
    <w:rsid w:val="00C30D15"/>
    <w:rsid w:val="00C3124F"/>
    <w:rsid w:val="00C31BA0"/>
    <w:rsid w:val="00C340F9"/>
    <w:rsid w:val="00C4125B"/>
    <w:rsid w:val="00C42363"/>
    <w:rsid w:val="00C42536"/>
    <w:rsid w:val="00C43C92"/>
    <w:rsid w:val="00C44E65"/>
    <w:rsid w:val="00C46906"/>
    <w:rsid w:val="00C46A1C"/>
    <w:rsid w:val="00C46AD4"/>
    <w:rsid w:val="00C52BC4"/>
    <w:rsid w:val="00C53A9F"/>
    <w:rsid w:val="00C56C28"/>
    <w:rsid w:val="00C56C85"/>
    <w:rsid w:val="00C57482"/>
    <w:rsid w:val="00C60F46"/>
    <w:rsid w:val="00C61A91"/>
    <w:rsid w:val="00C63B67"/>
    <w:rsid w:val="00C67BB9"/>
    <w:rsid w:val="00C7037B"/>
    <w:rsid w:val="00C72F02"/>
    <w:rsid w:val="00C8043D"/>
    <w:rsid w:val="00C8435A"/>
    <w:rsid w:val="00C85EB2"/>
    <w:rsid w:val="00C90319"/>
    <w:rsid w:val="00C93781"/>
    <w:rsid w:val="00C97933"/>
    <w:rsid w:val="00CA1944"/>
    <w:rsid w:val="00CA2E9A"/>
    <w:rsid w:val="00CA3DB6"/>
    <w:rsid w:val="00CB0CD2"/>
    <w:rsid w:val="00CB2DFB"/>
    <w:rsid w:val="00CB4308"/>
    <w:rsid w:val="00CB5825"/>
    <w:rsid w:val="00CB7484"/>
    <w:rsid w:val="00CC4669"/>
    <w:rsid w:val="00CC5D71"/>
    <w:rsid w:val="00CC725B"/>
    <w:rsid w:val="00CD2510"/>
    <w:rsid w:val="00CD4F31"/>
    <w:rsid w:val="00CD7108"/>
    <w:rsid w:val="00CE6418"/>
    <w:rsid w:val="00D00EB3"/>
    <w:rsid w:val="00D021AD"/>
    <w:rsid w:val="00D03584"/>
    <w:rsid w:val="00D04997"/>
    <w:rsid w:val="00D04FC4"/>
    <w:rsid w:val="00D063F8"/>
    <w:rsid w:val="00D06EA8"/>
    <w:rsid w:val="00D11728"/>
    <w:rsid w:val="00D153B4"/>
    <w:rsid w:val="00D23526"/>
    <w:rsid w:val="00D23720"/>
    <w:rsid w:val="00D23B0D"/>
    <w:rsid w:val="00D2427C"/>
    <w:rsid w:val="00D27B9C"/>
    <w:rsid w:val="00D3080F"/>
    <w:rsid w:val="00D32C5A"/>
    <w:rsid w:val="00D3353B"/>
    <w:rsid w:val="00D3477E"/>
    <w:rsid w:val="00D3490F"/>
    <w:rsid w:val="00D368E3"/>
    <w:rsid w:val="00D41071"/>
    <w:rsid w:val="00D4496A"/>
    <w:rsid w:val="00D454E3"/>
    <w:rsid w:val="00D45DCA"/>
    <w:rsid w:val="00D46D9A"/>
    <w:rsid w:val="00D52D2F"/>
    <w:rsid w:val="00D55030"/>
    <w:rsid w:val="00D56523"/>
    <w:rsid w:val="00D57F91"/>
    <w:rsid w:val="00D64752"/>
    <w:rsid w:val="00D651B5"/>
    <w:rsid w:val="00D71181"/>
    <w:rsid w:val="00D72F3E"/>
    <w:rsid w:val="00D74659"/>
    <w:rsid w:val="00D75CAA"/>
    <w:rsid w:val="00D8203C"/>
    <w:rsid w:val="00D87D1E"/>
    <w:rsid w:val="00D9169F"/>
    <w:rsid w:val="00D933D1"/>
    <w:rsid w:val="00D9668D"/>
    <w:rsid w:val="00D97641"/>
    <w:rsid w:val="00DA035C"/>
    <w:rsid w:val="00DA2B4C"/>
    <w:rsid w:val="00DA4DE0"/>
    <w:rsid w:val="00DB1801"/>
    <w:rsid w:val="00DB2119"/>
    <w:rsid w:val="00DB359F"/>
    <w:rsid w:val="00DB4409"/>
    <w:rsid w:val="00DB6128"/>
    <w:rsid w:val="00DB6591"/>
    <w:rsid w:val="00DB722C"/>
    <w:rsid w:val="00DB7D8E"/>
    <w:rsid w:val="00DC00DB"/>
    <w:rsid w:val="00DC0123"/>
    <w:rsid w:val="00DC0E28"/>
    <w:rsid w:val="00DC11B2"/>
    <w:rsid w:val="00DC3080"/>
    <w:rsid w:val="00DC3236"/>
    <w:rsid w:val="00DC337A"/>
    <w:rsid w:val="00DD1B85"/>
    <w:rsid w:val="00DD38EC"/>
    <w:rsid w:val="00DD43F7"/>
    <w:rsid w:val="00DD553A"/>
    <w:rsid w:val="00DD6E14"/>
    <w:rsid w:val="00DE3E1F"/>
    <w:rsid w:val="00DE3EF9"/>
    <w:rsid w:val="00DE5502"/>
    <w:rsid w:val="00DE6664"/>
    <w:rsid w:val="00DE7255"/>
    <w:rsid w:val="00DF427A"/>
    <w:rsid w:val="00DF553E"/>
    <w:rsid w:val="00DF5B0E"/>
    <w:rsid w:val="00DF5B8E"/>
    <w:rsid w:val="00E00879"/>
    <w:rsid w:val="00E0186C"/>
    <w:rsid w:val="00E0325D"/>
    <w:rsid w:val="00E12811"/>
    <w:rsid w:val="00E13854"/>
    <w:rsid w:val="00E138F9"/>
    <w:rsid w:val="00E16DDE"/>
    <w:rsid w:val="00E235D1"/>
    <w:rsid w:val="00E25106"/>
    <w:rsid w:val="00E2676C"/>
    <w:rsid w:val="00E279C0"/>
    <w:rsid w:val="00E27FCD"/>
    <w:rsid w:val="00E3432D"/>
    <w:rsid w:val="00E40078"/>
    <w:rsid w:val="00E40AFD"/>
    <w:rsid w:val="00E43C6E"/>
    <w:rsid w:val="00E4591E"/>
    <w:rsid w:val="00E52B00"/>
    <w:rsid w:val="00E56276"/>
    <w:rsid w:val="00E56CFD"/>
    <w:rsid w:val="00E56DCF"/>
    <w:rsid w:val="00E6097E"/>
    <w:rsid w:val="00E6157E"/>
    <w:rsid w:val="00E61DA3"/>
    <w:rsid w:val="00E6316B"/>
    <w:rsid w:val="00E65D8D"/>
    <w:rsid w:val="00E66576"/>
    <w:rsid w:val="00E668FC"/>
    <w:rsid w:val="00E718E3"/>
    <w:rsid w:val="00E75A3D"/>
    <w:rsid w:val="00E770E3"/>
    <w:rsid w:val="00E8153A"/>
    <w:rsid w:val="00E82063"/>
    <w:rsid w:val="00E8214B"/>
    <w:rsid w:val="00E833B8"/>
    <w:rsid w:val="00E86381"/>
    <w:rsid w:val="00E87BF4"/>
    <w:rsid w:val="00E91FF1"/>
    <w:rsid w:val="00E92104"/>
    <w:rsid w:val="00E941F3"/>
    <w:rsid w:val="00E94E9D"/>
    <w:rsid w:val="00E95D62"/>
    <w:rsid w:val="00E972F1"/>
    <w:rsid w:val="00EA10B7"/>
    <w:rsid w:val="00EA68E9"/>
    <w:rsid w:val="00EA6CA4"/>
    <w:rsid w:val="00EB0D10"/>
    <w:rsid w:val="00EB204B"/>
    <w:rsid w:val="00EB5CC7"/>
    <w:rsid w:val="00EB7211"/>
    <w:rsid w:val="00EB7628"/>
    <w:rsid w:val="00EC1554"/>
    <w:rsid w:val="00EC2FE8"/>
    <w:rsid w:val="00EC6C02"/>
    <w:rsid w:val="00ED0378"/>
    <w:rsid w:val="00ED1A41"/>
    <w:rsid w:val="00ED3324"/>
    <w:rsid w:val="00ED3EAD"/>
    <w:rsid w:val="00ED447A"/>
    <w:rsid w:val="00ED5387"/>
    <w:rsid w:val="00ED6576"/>
    <w:rsid w:val="00ED7860"/>
    <w:rsid w:val="00EE007B"/>
    <w:rsid w:val="00EE37DD"/>
    <w:rsid w:val="00EE48ED"/>
    <w:rsid w:val="00EE679E"/>
    <w:rsid w:val="00EE6C42"/>
    <w:rsid w:val="00EE6F41"/>
    <w:rsid w:val="00EE7528"/>
    <w:rsid w:val="00EE7642"/>
    <w:rsid w:val="00EE77AA"/>
    <w:rsid w:val="00EE7DF6"/>
    <w:rsid w:val="00EF115D"/>
    <w:rsid w:val="00EF1CB6"/>
    <w:rsid w:val="00EF2220"/>
    <w:rsid w:val="00EF239A"/>
    <w:rsid w:val="00EF2C7D"/>
    <w:rsid w:val="00EF3E09"/>
    <w:rsid w:val="00EF6038"/>
    <w:rsid w:val="00F00444"/>
    <w:rsid w:val="00F00B86"/>
    <w:rsid w:val="00F03876"/>
    <w:rsid w:val="00F05A0B"/>
    <w:rsid w:val="00F0786D"/>
    <w:rsid w:val="00F12378"/>
    <w:rsid w:val="00F12496"/>
    <w:rsid w:val="00F126C2"/>
    <w:rsid w:val="00F1286B"/>
    <w:rsid w:val="00F12FCD"/>
    <w:rsid w:val="00F15545"/>
    <w:rsid w:val="00F1608B"/>
    <w:rsid w:val="00F253FB"/>
    <w:rsid w:val="00F270B6"/>
    <w:rsid w:val="00F27A7F"/>
    <w:rsid w:val="00F3150C"/>
    <w:rsid w:val="00F3372E"/>
    <w:rsid w:val="00F35658"/>
    <w:rsid w:val="00F37E7D"/>
    <w:rsid w:val="00F411A0"/>
    <w:rsid w:val="00F4480A"/>
    <w:rsid w:val="00F461F1"/>
    <w:rsid w:val="00F50C5B"/>
    <w:rsid w:val="00F526F8"/>
    <w:rsid w:val="00F53940"/>
    <w:rsid w:val="00F54084"/>
    <w:rsid w:val="00F550A1"/>
    <w:rsid w:val="00F57E54"/>
    <w:rsid w:val="00F64577"/>
    <w:rsid w:val="00F66A27"/>
    <w:rsid w:val="00F66C1E"/>
    <w:rsid w:val="00F70ECF"/>
    <w:rsid w:val="00F7132E"/>
    <w:rsid w:val="00F72206"/>
    <w:rsid w:val="00F74CFB"/>
    <w:rsid w:val="00F76FA5"/>
    <w:rsid w:val="00F80028"/>
    <w:rsid w:val="00F80460"/>
    <w:rsid w:val="00F810D5"/>
    <w:rsid w:val="00F8396D"/>
    <w:rsid w:val="00F926FA"/>
    <w:rsid w:val="00F927EE"/>
    <w:rsid w:val="00F950DF"/>
    <w:rsid w:val="00F9782E"/>
    <w:rsid w:val="00FA1C4E"/>
    <w:rsid w:val="00FA2A3E"/>
    <w:rsid w:val="00FB18AD"/>
    <w:rsid w:val="00FB4A2A"/>
    <w:rsid w:val="00FB5C7D"/>
    <w:rsid w:val="00FB6AC3"/>
    <w:rsid w:val="00FC1BFF"/>
    <w:rsid w:val="00FC1CE5"/>
    <w:rsid w:val="00FC37F3"/>
    <w:rsid w:val="00FC6FD1"/>
    <w:rsid w:val="00FD09ED"/>
    <w:rsid w:val="00FD7546"/>
    <w:rsid w:val="00FD7E12"/>
    <w:rsid w:val="00FE04F1"/>
    <w:rsid w:val="00FE276F"/>
    <w:rsid w:val="00FE438E"/>
    <w:rsid w:val="00FE62E1"/>
    <w:rsid w:val="00FE790F"/>
    <w:rsid w:val="00FF0F51"/>
    <w:rsid w:val="00FF7069"/>
    <w:rsid w:val="0109DCB7"/>
    <w:rsid w:val="018E635A"/>
    <w:rsid w:val="019BFB10"/>
    <w:rsid w:val="01D6D7D9"/>
    <w:rsid w:val="01EB32E3"/>
    <w:rsid w:val="02568556"/>
    <w:rsid w:val="02605BDA"/>
    <w:rsid w:val="0266F2E4"/>
    <w:rsid w:val="02859E5B"/>
    <w:rsid w:val="02AE54FF"/>
    <w:rsid w:val="02D29D78"/>
    <w:rsid w:val="02EAF689"/>
    <w:rsid w:val="02FBDD77"/>
    <w:rsid w:val="031D15A5"/>
    <w:rsid w:val="036A379E"/>
    <w:rsid w:val="036C171B"/>
    <w:rsid w:val="0394338F"/>
    <w:rsid w:val="039A7312"/>
    <w:rsid w:val="03D18F5A"/>
    <w:rsid w:val="03E7C6A6"/>
    <w:rsid w:val="0421FED0"/>
    <w:rsid w:val="049DE759"/>
    <w:rsid w:val="04B52864"/>
    <w:rsid w:val="04CFF747"/>
    <w:rsid w:val="04DB2DB5"/>
    <w:rsid w:val="04E0575E"/>
    <w:rsid w:val="0515F953"/>
    <w:rsid w:val="0535141D"/>
    <w:rsid w:val="05466D6E"/>
    <w:rsid w:val="058868D9"/>
    <w:rsid w:val="05BDD915"/>
    <w:rsid w:val="05C77DA4"/>
    <w:rsid w:val="05D1C903"/>
    <w:rsid w:val="05DECF80"/>
    <w:rsid w:val="05F7A307"/>
    <w:rsid w:val="05F92C7A"/>
    <w:rsid w:val="0601AB21"/>
    <w:rsid w:val="061D983A"/>
    <w:rsid w:val="06290575"/>
    <w:rsid w:val="0633CDC5"/>
    <w:rsid w:val="0669D436"/>
    <w:rsid w:val="066BCEE7"/>
    <w:rsid w:val="0686EB85"/>
    <w:rsid w:val="06BFF91B"/>
    <w:rsid w:val="073EAE3E"/>
    <w:rsid w:val="0743A13F"/>
    <w:rsid w:val="0744B32F"/>
    <w:rsid w:val="074A4D2F"/>
    <w:rsid w:val="074F9344"/>
    <w:rsid w:val="075E2A77"/>
    <w:rsid w:val="07836A05"/>
    <w:rsid w:val="07894738"/>
    <w:rsid w:val="07A78942"/>
    <w:rsid w:val="07EC0FA0"/>
    <w:rsid w:val="083272E4"/>
    <w:rsid w:val="084C1D91"/>
    <w:rsid w:val="0851CFCE"/>
    <w:rsid w:val="087275D7"/>
    <w:rsid w:val="08DFF76D"/>
    <w:rsid w:val="08EA7C28"/>
    <w:rsid w:val="08F60A78"/>
    <w:rsid w:val="09344022"/>
    <w:rsid w:val="096217FB"/>
    <w:rsid w:val="0977518E"/>
    <w:rsid w:val="098AAEB5"/>
    <w:rsid w:val="098F7343"/>
    <w:rsid w:val="09C319E0"/>
    <w:rsid w:val="09E70C91"/>
    <w:rsid w:val="09F3E133"/>
    <w:rsid w:val="0A14F293"/>
    <w:rsid w:val="0A158134"/>
    <w:rsid w:val="0A60F019"/>
    <w:rsid w:val="0A766B11"/>
    <w:rsid w:val="0A8E093E"/>
    <w:rsid w:val="0AD9D6F3"/>
    <w:rsid w:val="0AE13842"/>
    <w:rsid w:val="0AEC714B"/>
    <w:rsid w:val="0AF51D2A"/>
    <w:rsid w:val="0B1BB473"/>
    <w:rsid w:val="0B389F0E"/>
    <w:rsid w:val="0B38E50B"/>
    <w:rsid w:val="0B477A8E"/>
    <w:rsid w:val="0B49358A"/>
    <w:rsid w:val="0B8F9EAE"/>
    <w:rsid w:val="0BBDC2CD"/>
    <w:rsid w:val="0BBF95AB"/>
    <w:rsid w:val="0BC9A3E3"/>
    <w:rsid w:val="0C003E0C"/>
    <w:rsid w:val="0C096487"/>
    <w:rsid w:val="0C0ED428"/>
    <w:rsid w:val="0C24DF30"/>
    <w:rsid w:val="0C25769E"/>
    <w:rsid w:val="0C292556"/>
    <w:rsid w:val="0C33952F"/>
    <w:rsid w:val="0C3A4858"/>
    <w:rsid w:val="0C4ECB74"/>
    <w:rsid w:val="0C8F0A72"/>
    <w:rsid w:val="0CA9D1B8"/>
    <w:rsid w:val="0CBA13B1"/>
    <w:rsid w:val="0CD8D099"/>
    <w:rsid w:val="0CE21F5A"/>
    <w:rsid w:val="0D079863"/>
    <w:rsid w:val="0D1F98D3"/>
    <w:rsid w:val="0D3E00F1"/>
    <w:rsid w:val="0D51CB0B"/>
    <w:rsid w:val="0D58B489"/>
    <w:rsid w:val="0D63A506"/>
    <w:rsid w:val="0D951B21"/>
    <w:rsid w:val="0D96E6F9"/>
    <w:rsid w:val="0DA243E9"/>
    <w:rsid w:val="0DAA1529"/>
    <w:rsid w:val="0DC03F65"/>
    <w:rsid w:val="0DD2061C"/>
    <w:rsid w:val="0DE8593F"/>
    <w:rsid w:val="0E0519FD"/>
    <w:rsid w:val="0E7C7991"/>
    <w:rsid w:val="0E8A992E"/>
    <w:rsid w:val="0EC0E087"/>
    <w:rsid w:val="0ECC53EE"/>
    <w:rsid w:val="0EE6AB87"/>
    <w:rsid w:val="0EF6FC1F"/>
    <w:rsid w:val="0EFD735B"/>
    <w:rsid w:val="0F0793E6"/>
    <w:rsid w:val="0F1E3B6B"/>
    <w:rsid w:val="0F293B25"/>
    <w:rsid w:val="0F48A6A8"/>
    <w:rsid w:val="0F492F87"/>
    <w:rsid w:val="0F49BB91"/>
    <w:rsid w:val="0F64C7FB"/>
    <w:rsid w:val="0F9BAF2B"/>
    <w:rsid w:val="0FF10237"/>
    <w:rsid w:val="0FF4C071"/>
    <w:rsid w:val="102E85B7"/>
    <w:rsid w:val="1059D689"/>
    <w:rsid w:val="1060990D"/>
    <w:rsid w:val="107BC825"/>
    <w:rsid w:val="10A9A137"/>
    <w:rsid w:val="10D9B8CA"/>
    <w:rsid w:val="1126B408"/>
    <w:rsid w:val="11388055"/>
    <w:rsid w:val="11679302"/>
    <w:rsid w:val="11AE5EC1"/>
    <w:rsid w:val="11C50CFA"/>
    <w:rsid w:val="12327B0E"/>
    <w:rsid w:val="1258F41F"/>
    <w:rsid w:val="12ACDCE6"/>
    <w:rsid w:val="12B3AEF6"/>
    <w:rsid w:val="12D22480"/>
    <w:rsid w:val="130FC1DE"/>
    <w:rsid w:val="13118BAC"/>
    <w:rsid w:val="136E65BF"/>
    <w:rsid w:val="13895E63"/>
    <w:rsid w:val="13C9D832"/>
    <w:rsid w:val="14285587"/>
    <w:rsid w:val="142DB505"/>
    <w:rsid w:val="14424CD7"/>
    <w:rsid w:val="145354E7"/>
    <w:rsid w:val="14891134"/>
    <w:rsid w:val="149D60A8"/>
    <w:rsid w:val="14BCDE56"/>
    <w:rsid w:val="14D06F75"/>
    <w:rsid w:val="14F1407D"/>
    <w:rsid w:val="15008A0C"/>
    <w:rsid w:val="152F04C5"/>
    <w:rsid w:val="15583B3B"/>
    <w:rsid w:val="15876BD5"/>
    <w:rsid w:val="1597ED4D"/>
    <w:rsid w:val="15B1228D"/>
    <w:rsid w:val="15E7EFD0"/>
    <w:rsid w:val="15FE3E4C"/>
    <w:rsid w:val="161DD8B5"/>
    <w:rsid w:val="164EB1BF"/>
    <w:rsid w:val="167C7003"/>
    <w:rsid w:val="1693A63C"/>
    <w:rsid w:val="16A2D8E8"/>
    <w:rsid w:val="16A59597"/>
    <w:rsid w:val="16AC4669"/>
    <w:rsid w:val="16CAD128"/>
    <w:rsid w:val="16CBAB2C"/>
    <w:rsid w:val="16D1E7E2"/>
    <w:rsid w:val="16D699BB"/>
    <w:rsid w:val="17350AA5"/>
    <w:rsid w:val="1738E5E5"/>
    <w:rsid w:val="17AA3E01"/>
    <w:rsid w:val="17D21331"/>
    <w:rsid w:val="17F46C12"/>
    <w:rsid w:val="181E998D"/>
    <w:rsid w:val="18302836"/>
    <w:rsid w:val="18333E39"/>
    <w:rsid w:val="185A4997"/>
    <w:rsid w:val="18633B1B"/>
    <w:rsid w:val="18945623"/>
    <w:rsid w:val="18A517EE"/>
    <w:rsid w:val="18B2699B"/>
    <w:rsid w:val="18BD7D55"/>
    <w:rsid w:val="18BEDF80"/>
    <w:rsid w:val="18CAA4F5"/>
    <w:rsid w:val="18FB2333"/>
    <w:rsid w:val="1949E222"/>
    <w:rsid w:val="1955AC02"/>
    <w:rsid w:val="196574B4"/>
    <w:rsid w:val="19776BCB"/>
    <w:rsid w:val="19ABB1D9"/>
    <w:rsid w:val="19BC54FF"/>
    <w:rsid w:val="19BFEF21"/>
    <w:rsid w:val="19D82988"/>
    <w:rsid w:val="19E72E61"/>
    <w:rsid w:val="19E81E81"/>
    <w:rsid w:val="19E9B81F"/>
    <w:rsid w:val="19FF0B7C"/>
    <w:rsid w:val="1A043176"/>
    <w:rsid w:val="1A4A2B8F"/>
    <w:rsid w:val="1A4F4612"/>
    <w:rsid w:val="1A747A1D"/>
    <w:rsid w:val="1A9079DF"/>
    <w:rsid w:val="1ABBFAA1"/>
    <w:rsid w:val="1ADB5903"/>
    <w:rsid w:val="1AFE7C7E"/>
    <w:rsid w:val="1B11FBA8"/>
    <w:rsid w:val="1B2272A7"/>
    <w:rsid w:val="1B23D82A"/>
    <w:rsid w:val="1B79AE2E"/>
    <w:rsid w:val="1B907634"/>
    <w:rsid w:val="1BB410C3"/>
    <w:rsid w:val="1BCAA29A"/>
    <w:rsid w:val="1BF31B4F"/>
    <w:rsid w:val="1C2C0303"/>
    <w:rsid w:val="1C420C0A"/>
    <w:rsid w:val="1C640739"/>
    <w:rsid w:val="1C72A860"/>
    <w:rsid w:val="1C7730C3"/>
    <w:rsid w:val="1C9B80CD"/>
    <w:rsid w:val="1CAC004C"/>
    <w:rsid w:val="1CBEDA2E"/>
    <w:rsid w:val="1CDA8738"/>
    <w:rsid w:val="1CE48783"/>
    <w:rsid w:val="1D13F0E2"/>
    <w:rsid w:val="1D4D66A9"/>
    <w:rsid w:val="1D505346"/>
    <w:rsid w:val="1D50E78A"/>
    <w:rsid w:val="1D538A31"/>
    <w:rsid w:val="1D584449"/>
    <w:rsid w:val="1D6B7E45"/>
    <w:rsid w:val="1D96DBC2"/>
    <w:rsid w:val="1D9E516D"/>
    <w:rsid w:val="1DDF4A90"/>
    <w:rsid w:val="1E0F1D0B"/>
    <w:rsid w:val="1E12B322"/>
    <w:rsid w:val="1E4FB653"/>
    <w:rsid w:val="1E710753"/>
    <w:rsid w:val="1E771B92"/>
    <w:rsid w:val="1E7F4A5C"/>
    <w:rsid w:val="1EA0CE10"/>
    <w:rsid w:val="1EA1A4A1"/>
    <w:rsid w:val="1EAF5388"/>
    <w:rsid w:val="1ED68361"/>
    <w:rsid w:val="1EE05C19"/>
    <w:rsid w:val="1EF27146"/>
    <w:rsid w:val="1EF8ACEB"/>
    <w:rsid w:val="1F034E15"/>
    <w:rsid w:val="1F1AC2DD"/>
    <w:rsid w:val="1FB0D4E5"/>
    <w:rsid w:val="1FD356CA"/>
    <w:rsid w:val="1FD56D49"/>
    <w:rsid w:val="1FDC495A"/>
    <w:rsid w:val="1FDD845E"/>
    <w:rsid w:val="1FF44CE1"/>
    <w:rsid w:val="202931C7"/>
    <w:rsid w:val="20343657"/>
    <w:rsid w:val="20534A2B"/>
    <w:rsid w:val="205A21C4"/>
    <w:rsid w:val="20676532"/>
    <w:rsid w:val="20765EE8"/>
    <w:rsid w:val="2077AA70"/>
    <w:rsid w:val="2077D4AA"/>
    <w:rsid w:val="208C462C"/>
    <w:rsid w:val="20A46CF4"/>
    <w:rsid w:val="20BD769F"/>
    <w:rsid w:val="20C5F02C"/>
    <w:rsid w:val="20DFF3CC"/>
    <w:rsid w:val="20EA35A7"/>
    <w:rsid w:val="20F6DC76"/>
    <w:rsid w:val="21044016"/>
    <w:rsid w:val="2130C601"/>
    <w:rsid w:val="2153BF1E"/>
    <w:rsid w:val="218449F3"/>
    <w:rsid w:val="218E9E99"/>
    <w:rsid w:val="21A817E8"/>
    <w:rsid w:val="21C87B09"/>
    <w:rsid w:val="21E5224D"/>
    <w:rsid w:val="22111761"/>
    <w:rsid w:val="22438013"/>
    <w:rsid w:val="2243CE27"/>
    <w:rsid w:val="22617A29"/>
    <w:rsid w:val="2265B9BB"/>
    <w:rsid w:val="2290B713"/>
    <w:rsid w:val="22EDCA55"/>
    <w:rsid w:val="231E1821"/>
    <w:rsid w:val="231FC69F"/>
    <w:rsid w:val="23791E08"/>
    <w:rsid w:val="23C1EC6E"/>
    <w:rsid w:val="23D21689"/>
    <w:rsid w:val="23E67FAE"/>
    <w:rsid w:val="24488445"/>
    <w:rsid w:val="2464B350"/>
    <w:rsid w:val="2483799A"/>
    <w:rsid w:val="24A25C97"/>
    <w:rsid w:val="24B0D93D"/>
    <w:rsid w:val="24D1FB72"/>
    <w:rsid w:val="24EFB093"/>
    <w:rsid w:val="2506BD16"/>
    <w:rsid w:val="2554B93D"/>
    <w:rsid w:val="2570595F"/>
    <w:rsid w:val="2580E738"/>
    <w:rsid w:val="259E800B"/>
    <w:rsid w:val="25A298F2"/>
    <w:rsid w:val="25CE4AB2"/>
    <w:rsid w:val="262423D1"/>
    <w:rsid w:val="2625E440"/>
    <w:rsid w:val="262B41F1"/>
    <w:rsid w:val="2639A2A7"/>
    <w:rsid w:val="263B4442"/>
    <w:rsid w:val="26480F28"/>
    <w:rsid w:val="2668FDBC"/>
    <w:rsid w:val="266D6D49"/>
    <w:rsid w:val="267C6CC5"/>
    <w:rsid w:val="267DF06E"/>
    <w:rsid w:val="2695508A"/>
    <w:rsid w:val="26C3CF42"/>
    <w:rsid w:val="27012A69"/>
    <w:rsid w:val="271ED7E8"/>
    <w:rsid w:val="272CB0BC"/>
    <w:rsid w:val="273A1C81"/>
    <w:rsid w:val="273BC1EF"/>
    <w:rsid w:val="27452129"/>
    <w:rsid w:val="27628AAD"/>
    <w:rsid w:val="2781A844"/>
    <w:rsid w:val="278BDA52"/>
    <w:rsid w:val="279823BB"/>
    <w:rsid w:val="27AB1C75"/>
    <w:rsid w:val="27C9DCF7"/>
    <w:rsid w:val="27CDBA23"/>
    <w:rsid w:val="27CE56BF"/>
    <w:rsid w:val="27D17B15"/>
    <w:rsid w:val="27FBE80D"/>
    <w:rsid w:val="280C1A71"/>
    <w:rsid w:val="281CAAFF"/>
    <w:rsid w:val="283EC77E"/>
    <w:rsid w:val="283EE007"/>
    <w:rsid w:val="28534D97"/>
    <w:rsid w:val="28827E2E"/>
    <w:rsid w:val="289680AC"/>
    <w:rsid w:val="28BA9790"/>
    <w:rsid w:val="28CD65BC"/>
    <w:rsid w:val="28ECBAAA"/>
    <w:rsid w:val="2900DA79"/>
    <w:rsid w:val="29046737"/>
    <w:rsid w:val="290D5903"/>
    <w:rsid w:val="29468D95"/>
    <w:rsid w:val="29591281"/>
    <w:rsid w:val="296FE4F9"/>
    <w:rsid w:val="29969E1C"/>
    <w:rsid w:val="299F3C00"/>
    <w:rsid w:val="29AAC6EA"/>
    <w:rsid w:val="29ADC4B2"/>
    <w:rsid w:val="29BE326A"/>
    <w:rsid w:val="29BF4977"/>
    <w:rsid w:val="2A0F33DA"/>
    <w:rsid w:val="2A25DDCC"/>
    <w:rsid w:val="2A26DC29"/>
    <w:rsid w:val="2A36E352"/>
    <w:rsid w:val="2A3C7F7C"/>
    <w:rsid w:val="2A495804"/>
    <w:rsid w:val="2A5AD1F3"/>
    <w:rsid w:val="2A730F43"/>
    <w:rsid w:val="2A965323"/>
    <w:rsid w:val="2AB479BF"/>
    <w:rsid w:val="2B16D4FC"/>
    <w:rsid w:val="2B6C0712"/>
    <w:rsid w:val="2B6CA907"/>
    <w:rsid w:val="2B831889"/>
    <w:rsid w:val="2B91F7E0"/>
    <w:rsid w:val="2B9F1DCA"/>
    <w:rsid w:val="2BB17B2F"/>
    <w:rsid w:val="2BB7841D"/>
    <w:rsid w:val="2BDC2ED5"/>
    <w:rsid w:val="2C0EDBE5"/>
    <w:rsid w:val="2C0F8CA7"/>
    <w:rsid w:val="2C1DCE42"/>
    <w:rsid w:val="2C2CA86F"/>
    <w:rsid w:val="2C7668B5"/>
    <w:rsid w:val="2C7DE8CC"/>
    <w:rsid w:val="2C8EC774"/>
    <w:rsid w:val="2C91F469"/>
    <w:rsid w:val="2CC8DD5B"/>
    <w:rsid w:val="2CCEB2E5"/>
    <w:rsid w:val="2CD880A5"/>
    <w:rsid w:val="2CF5FA6E"/>
    <w:rsid w:val="2D22F0DB"/>
    <w:rsid w:val="2D677787"/>
    <w:rsid w:val="2D7B163C"/>
    <w:rsid w:val="2D86306D"/>
    <w:rsid w:val="2DAF1B49"/>
    <w:rsid w:val="2DB96CA6"/>
    <w:rsid w:val="2DD07F85"/>
    <w:rsid w:val="2DE00753"/>
    <w:rsid w:val="2DF880E1"/>
    <w:rsid w:val="2E2A2F35"/>
    <w:rsid w:val="2E3B9A8D"/>
    <w:rsid w:val="2E5842AB"/>
    <w:rsid w:val="2E995AE9"/>
    <w:rsid w:val="2EA734BB"/>
    <w:rsid w:val="2ED007FC"/>
    <w:rsid w:val="2F5D9F46"/>
    <w:rsid w:val="2F63B8EE"/>
    <w:rsid w:val="2F6666E7"/>
    <w:rsid w:val="2F7089A2"/>
    <w:rsid w:val="2F8B8A35"/>
    <w:rsid w:val="2FA4469F"/>
    <w:rsid w:val="2FAFDF52"/>
    <w:rsid w:val="2FB73D28"/>
    <w:rsid w:val="2FB7C090"/>
    <w:rsid w:val="2FBC1C7A"/>
    <w:rsid w:val="2FBDA28B"/>
    <w:rsid w:val="2FFBB9D7"/>
    <w:rsid w:val="3026AE17"/>
    <w:rsid w:val="3058EBFA"/>
    <w:rsid w:val="305971DF"/>
    <w:rsid w:val="305CD773"/>
    <w:rsid w:val="306C63F9"/>
    <w:rsid w:val="306CF687"/>
    <w:rsid w:val="30918DFE"/>
    <w:rsid w:val="30CA9C21"/>
    <w:rsid w:val="30CAAA8C"/>
    <w:rsid w:val="30CC89F3"/>
    <w:rsid w:val="30D83DE5"/>
    <w:rsid w:val="313B925A"/>
    <w:rsid w:val="31855780"/>
    <w:rsid w:val="31A6687E"/>
    <w:rsid w:val="31E1CBB0"/>
    <w:rsid w:val="31FECFEE"/>
    <w:rsid w:val="3248D28A"/>
    <w:rsid w:val="32543669"/>
    <w:rsid w:val="325AA8EB"/>
    <w:rsid w:val="3272FFB3"/>
    <w:rsid w:val="32894B46"/>
    <w:rsid w:val="329F1A68"/>
    <w:rsid w:val="32E2CC45"/>
    <w:rsid w:val="330B34AA"/>
    <w:rsid w:val="33310E30"/>
    <w:rsid w:val="33B6C81E"/>
    <w:rsid w:val="342C46B2"/>
    <w:rsid w:val="3439608E"/>
    <w:rsid w:val="343F66E4"/>
    <w:rsid w:val="3440C60F"/>
    <w:rsid w:val="345693A9"/>
    <w:rsid w:val="345BE314"/>
    <w:rsid w:val="345C7118"/>
    <w:rsid w:val="34791048"/>
    <w:rsid w:val="348D1060"/>
    <w:rsid w:val="34CC0918"/>
    <w:rsid w:val="34F27CA9"/>
    <w:rsid w:val="34F90FC3"/>
    <w:rsid w:val="35163A5C"/>
    <w:rsid w:val="351EB9A3"/>
    <w:rsid w:val="357672B8"/>
    <w:rsid w:val="359E1E81"/>
    <w:rsid w:val="359ECFEF"/>
    <w:rsid w:val="35C06F69"/>
    <w:rsid w:val="35E269DE"/>
    <w:rsid w:val="35F0F453"/>
    <w:rsid w:val="361A5234"/>
    <w:rsid w:val="36218171"/>
    <w:rsid w:val="362D68E8"/>
    <w:rsid w:val="36602E18"/>
    <w:rsid w:val="36771C38"/>
    <w:rsid w:val="36817E51"/>
    <w:rsid w:val="369C4A21"/>
    <w:rsid w:val="36CE40B2"/>
    <w:rsid w:val="36DD7C7C"/>
    <w:rsid w:val="36F05C96"/>
    <w:rsid w:val="36F19346"/>
    <w:rsid w:val="37130FCF"/>
    <w:rsid w:val="3718A783"/>
    <w:rsid w:val="3753EB3E"/>
    <w:rsid w:val="376AFD04"/>
    <w:rsid w:val="3777D67F"/>
    <w:rsid w:val="3795AE4A"/>
    <w:rsid w:val="37CF589D"/>
    <w:rsid w:val="37F72C26"/>
    <w:rsid w:val="382A9169"/>
    <w:rsid w:val="386B0011"/>
    <w:rsid w:val="38823A3D"/>
    <w:rsid w:val="389D27B9"/>
    <w:rsid w:val="389E6001"/>
    <w:rsid w:val="38A0B4C0"/>
    <w:rsid w:val="38EA01BB"/>
    <w:rsid w:val="3924D253"/>
    <w:rsid w:val="394FB7CD"/>
    <w:rsid w:val="3952B462"/>
    <w:rsid w:val="3985A0CB"/>
    <w:rsid w:val="3987C564"/>
    <w:rsid w:val="399F9637"/>
    <w:rsid w:val="3A01F328"/>
    <w:rsid w:val="3A406E93"/>
    <w:rsid w:val="3A4DA338"/>
    <w:rsid w:val="3A52ED92"/>
    <w:rsid w:val="3A54CA40"/>
    <w:rsid w:val="3A5AD870"/>
    <w:rsid w:val="3A6C3974"/>
    <w:rsid w:val="3A7CB1AE"/>
    <w:rsid w:val="3A7EA04E"/>
    <w:rsid w:val="3AD29D6F"/>
    <w:rsid w:val="3AEE86E9"/>
    <w:rsid w:val="3B2A54AB"/>
    <w:rsid w:val="3B4B01F8"/>
    <w:rsid w:val="3B8C8C29"/>
    <w:rsid w:val="3B8F5EC9"/>
    <w:rsid w:val="3BC03F84"/>
    <w:rsid w:val="3BC4F7BF"/>
    <w:rsid w:val="3BCD3C09"/>
    <w:rsid w:val="3BE97FC4"/>
    <w:rsid w:val="3BFCC2C4"/>
    <w:rsid w:val="3C21C1E9"/>
    <w:rsid w:val="3C40CFBF"/>
    <w:rsid w:val="3C50CEAB"/>
    <w:rsid w:val="3C5E77CA"/>
    <w:rsid w:val="3C7B2F8B"/>
    <w:rsid w:val="3C834F65"/>
    <w:rsid w:val="3C904F60"/>
    <w:rsid w:val="3CAFDA5B"/>
    <w:rsid w:val="3CC34131"/>
    <w:rsid w:val="3CED4C48"/>
    <w:rsid w:val="3D0D8D8D"/>
    <w:rsid w:val="3D277FFA"/>
    <w:rsid w:val="3D2E8661"/>
    <w:rsid w:val="3D718535"/>
    <w:rsid w:val="3D987D3E"/>
    <w:rsid w:val="3DC8F0E6"/>
    <w:rsid w:val="3DD58435"/>
    <w:rsid w:val="3E0B313C"/>
    <w:rsid w:val="3E1588EC"/>
    <w:rsid w:val="3E245E50"/>
    <w:rsid w:val="3E26ECE3"/>
    <w:rsid w:val="3E44AD35"/>
    <w:rsid w:val="3E63D8CF"/>
    <w:rsid w:val="3E96E78C"/>
    <w:rsid w:val="3ED6C0F5"/>
    <w:rsid w:val="3EEE136D"/>
    <w:rsid w:val="3EF65CA3"/>
    <w:rsid w:val="3F244B0B"/>
    <w:rsid w:val="3F27D6A5"/>
    <w:rsid w:val="3F29AD82"/>
    <w:rsid w:val="3F3BFF02"/>
    <w:rsid w:val="3F585E75"/>
    <w:rsid w:val="3F91A10C"/>
    <w:rsid w:val="3FA02796"/>
    <w:rsid w:val="3FBE0B12"/>
    <w:rsid w:val="3FBF60CA"/>
    <w:rsid w:val="3FC8AE88"/>
    <w:rsid w:val="3FD691FD"/>
    <w:rsid w:val="4000C9AA"/>
    <w:rsid w:val="405E656F"/>
    <w:rsid w:val="406F31C3"/>
    <w:rsid w:val="408E9916"/>
    <w:rsid w:val="409CF245"/>
    <w:rsid w:val="40C68A21"/>
    <w:rsid w:val="40D4C383"/>
    <w:rsid w:val="40EAB447"/>
    <w:rsid w:val="40F8E24A"/>
    <w:rsid w:val="41022912"/>
    <w:rsid w:val="41259019"/>
    <w:rsid w:val="41437168"/>
    <w:rsid w:val="417A9FB2"/>
    <w:rsid w:val="418E6612"/>
    <w:rsid w:val="4193215D"/>
    <w:rsid w:val="41A523F6"/>
    <w:rsid w:val="41B22E1F"/>
    <w:rsid w:val="41B53706"/>
    <w:rsid w:val="41C61686"/>
    <w:rsid w:val="41CCB89E"/>
    <w:rsid w:val="41D57AF4"/>
    <w:rsid w:val="41D59BF8"/>
    <w:rsid w:val="41DA53F2"/>
    <w:rsid w:val="41EBAA95"/>
    <w:rsid w:val="41F48654"/>
    <w:rsid w:val="4207F078"/>
    <w:rsid w:val="420C3598"/>
    <w:rsid w:val="42107695"/>
    <w:rsid w:val="4215FB68"/>
    <w:rsid w:val="4233AA78"/>
    <w:rsid w:val="4266A75B"/>
    <w:rsid w:val="42E5CBB1"/>
    <w:rsid w:val="430159F2"/>
    <w:rsid w:val="432F2016"/>
    <w:rsid w:val="4364D6E6"/>
    <w:rsid w:val="438AEE75"/>
    <w:rsid w:val="43D045B1"/>
    <w:rsid w:val="43D11137"/>
    <w:rsid w:val="43DE8530"/>
    <w:rsid w:val="44049EA3"/>
    <w:rsid w:val="44310887"/>
    <w:rsid w:val="4446B5D2"/>
    <w:rsid w:val="448746AD"/>
    <w:rsid w:val="44955560"/>
    <w:rsid w:val="44A75845"/>
    <w:rsid w:val="44E4B04C"/>
    <w:rsid w:val="4500136F"/>
    <w:rsid w:val="4516D0F6"/>
    <w:rsid w:val="4523914D"/>
    <w:rsid w:val="45360986"/>
    <w:rsid w:val="4537E5AC"/>
    <w:rsid w:val="457D7C77"/>
    <w:rsid w:val="4588E7B3"/>
    <w:rsid w:val="45C0CA67"/>
    <w:rsid w:val="45C51880"/>
    <w:rsid w:val="45D50702"/>
    <w:rsid w:val="45E57F43"/>
    <w:rsid w:val="4626B928"/>
    <w:rsid w:val="4636C7CE"/>
    <w:rsid w:val="466EF332"/>
    <w:rsid w:val="468CE22F"/>
    <w:rsid w:val="46A01402"/>
    <w:rsid w:val="46C1BFDC"/>
    <w:rsid w:val="46E5BF8B"/>
    <w:rsid w:val="47109F63"/>
    <w:rsid w:val="47125382"/>
    <w:rsid w:val="4718D2E4"/>
    <w:rsid w:val="473084A9"/>
    <w:rsid w:val="4752651F"/>
    <w:rsid w:val="4792B850"/>
    <w:rsid w:val="47A0C8E6"/>
    <w:rsid w:val="47A0E13A"/>
    <w:rsid w:val="47C2CDB8"/>
    <w:rsid w:val="481AD252"/>
    <w:rsid w:val="481BAD4D"/>
    <w:rsid w:val="482F43D6"/>
    <w:rsid w:val="4838B342"/>
    <w:rsid w:val="4851059E"/>
    <w:rsid w:val="4856114E"/>
    <w:rsid w:val="4876AC01"/>
    <w:rsid w:val="489DEC70"/>
    <w:rsid w:val="48BA8708"/>
    <w:rsid w:val="48C255FD"/>
    <w:rsid w:val="48D1E98D"/>
    <w:rsid w:val="48DDFB6C"/>
    <w:rsid w:val="48F82D7C"/>
    <w:rsid w:val="49681CA7"/>
    <w:rsid w:val="497DA3C0"/>
    <w:rsid w:val="499272D5"/>
    <w:rsid w:val="4994AC8D"/>
    <w:rsid w:val="49A46D64"/>
    <w:rsid w:val="49A653EA"/>
    <w:rsid w:val="49ADC456"/>
    <w:rsid w:val="49DC1E4B"/>
    <w:rsid w:val="49F141FA"/>
    <w:rsid w:val="4A01DB1C"/>
    <w:rsid w:val="4A0DF875"/>
    <w:rsid w:val="4A19941A"/>
    <w:rsid w:val="4A393A4A"/>
    <w:rsid w:val="4A4F408A"/>
    <w:rsid w:val="4A5E6CD9"/>
    <w:rsid w:val="4A618915"/>
    <w:rsid w:val="4AA4280C"/>
    <w:rsid w:val="4AA7EC36"/>
    <w:rsid w:val="4AC49E33"/>
    <w:rsid w:val="4AC69501"/>
    <w:rsid w:val="4AF0E802"/>
    <w:rsid w:val="4AF146D5"/>
    <w:rsid w:val="4AF62FCB"/>
    <w:rsid w:val="4B0E225B"/>
    <w:rsid w:val="4B4DA939"/>
    <w:rsid w:val="4B6F6D19"/>
    <w:rsid w:val="4B70D271"/>
    <w:rsid w:val="4BFF8E07"/>
    <w:rsid w:val="4C1DD237"/>
    <w:rsid w:val="4C8709E1"/>
    <w:rsid w:val="4C8ABD6F"/>
    <w:rsid w:val="4CB3DB0F"/>
    <w:rsid w:val="4CD25F12"/>
    <w:rsid w:val="4CEECBBC"/>
    <w:rsid w:val="4CFE4985"/>
    <w:rsid w:val="4D4DB1B2"/>
    <w:rsid w:val="4D6ED918"/>
    <w:rsid w:val="4DC09360"/>
    <w:rsid w:val="4DD2291C"/>
    <w:rsid w:val="4DF93500"/>
    <w:rsid w:val="4E2ADFC1"/>
    <w:rsid w:val="4E31999F"/>
    <w:rsid w:val="4E3E70F4"/>
    <w:rsid w:val="4E48BC8C"/>
    <w:rsid w:val="4E52A346"/>
    <w:rsid w:val="4E7A7564"/>
    <w:rsid w:val="4E7D2C41"/>
    <w:rsid w:val="4E88BDEF"/>
    <w:rsid w:val="4ED296EE"/>
    <w:rsid w:val="4EEF4B22"/>
    <w:rsid w:val="4F0AE92F"/>
    <w:rsid w:val="4F0FCEDA"/>
    <w:rsid w:val="4F255589"/>
    <w:rsid w:val="4F3CD40D"/>
    <w:rsid w:val="4F3F2C8C"/>
    <w:rsid w:val="4F4C23E4"/>
    <w:rsid w:val="4F617962"/>
    <w:rsid w:val="4F7C4851"/>
    <w:rsid w:val="4F801347"/>
    <w:rsid w:val="4FD62EBE"/>
    <w:rsid w:val="4FE22BFF"/>
    <w:rsid w:val="5024C89C"/>
    <w:rsid w:val="504DEBC1"/>
    <w:rsid w:val="504FD193"/>
    <w:rsid w:val="505ED9A5"/>
    <w:rsid w:val="50C5DDA5"/>
    <w:rsid w:val="50D4AA36"/>
    <w:rsid w:val="5118EF0A"/>
    <w:rsid w:val="51292864"/>
    <w:rsid w:val="513AE555"/>
    <w:rsid w:val="513BC53C"/>
    <w:rsid w:val="514AE3FF"/>
    <w:rsid w:val="515843E6"/>
    <w:rsid w:val="5195CF67"/>
    <w:rsid w:val="51A9B2D4"/>
    <w:rsid w:val="51AF43EF"/>
    <w:rsid w:val="51AFB304"/>
    <w:rsid w:val="51B4744C"/>
    <w:rsid w:val="51D506D1"/>
    <w:rsid w:val="51DCF6AA"/>
    <w:rsid w:val="51ED4844"/>
    <w:rsid w:val="51F24F15"/>
    <w:rsid w:val="51F7E858"/>
    <w:rsid w:val="52042469"/>
    <w:rsid w:val="52200A19"/>
    <w:rsid w:val="52231891"/>
    <w:rsid w:val="5224E57E"/>
    <w:rsid w:val="5248C267"/>
    <w:rsid w:val="527E3E95"/>
    <w:rsid w:val="52AF84EE"/>
    <w:rsid w:val="52B734F8"/>
    <w:rsid w:val="52C8BF19"/>
    <w:rsid w:val="52CAF50A"/>
    <w:rsid w:val="52E5E1FE"/>
    <w:rsid w:val="52EF3492"/>
    <w:rsid w:val="531CC318"/>
    <w:rsid w:val="5331F208"/>
    <w:rsid w:val="533393ED"/>
    <w:rsid w:val="5335EC51"/>
    <w:rsid w:val="5362B099"/>
    <w:rsid w:val="5362B18A"/>
    <w:rsid w:val="5376133B"/>
    <w:rsid w:val="537840CC"/>
    <w:rsid w:val="538098C1"/>
    <w:rsid w:val="5389D277"/>
    <w:rsid w:val="538EC219"/>
    <w:rsid w:val="53916F41"/>
    <w:rsid w:val="53C979C3"/>
    <w:rsid w:val="53E27868"/>
    <w:rsid w:val="53FC0657"/>
    <w:rsid w:val="540591A7"/>
    <w:rsid w:val="54091E24"/>
    <w:rsid w:val="540A60D6"/>
    <w:rsid w:val="5505457D"/>
    <w:rsid w:val="550DB809"/>
    <w:rsid w:val="5510A1D4"/>
    <w:rsid w:val="551BD9F9"/>
    <w:rsid w:val="5526CC54"/>
    <w:rsid w:val="5526D530"/>
    <w:rsid w:val="55528BCE"/>
    <w:rsid w:val="55830CB5"/>
    <w:rsid w:val="5589579C"/>
    <w:rsid w:val="55B16D5A"/>
    <w:rsid w:val="55B87990"/>
    <w:rsid w:val="55E0D9DB"/>
    <w:rsid w:val="55E371C9"/>
    <w:rsid w:val="562A3B4A"/>
    <w:rsid w:val="5632554D"/>
    <w:rsid w:val="56489DBF"/>
    <w:rsid w:val="567773AD"/>
    <w:rsid w:val="56794811"/>
    <w:rsid w:val="5697C331"/>
    <w:rsid w:val="569F9DB7"/>
    <w:rsid w:val="56A76E68"/>
    <w:rsid w:val="56A94159"/>
    <w:rsid w:val="56D33334"/>
    <w:rsid w:val="572C7F10"/>
    <w:rsid w:val="574E7222"/>
    <w:rsid w:val="5775DE3B"/>
    <w:rsid w:val="57878CE5"/>
    <w:rsid w:val="57890C1E"/>
    <w:rsid w:val="579FF489"/>
    <w:rsid w:val="57EBEE21"/>
    <w:rsid w:val="58596D54"/>
    <w:rsid w:val="585FFC29"/>
    <w:rsid w:val="5892309F"/>
    <w:rsid w:val="58B90A5D"/>
    <w:rsid w:val="58CF3AB0"/>
    <w:rsid w:val="58FCABBC"/>
    <w:rsid w:val="591F055D"/>
    <w:rsid w:val="59751144"/>
    <w:rsid w:val="5975FB4C"/>
    <w:rsid w:val="597A53F5"/>
    <w:rsid w:val="59AC0DB2"/>
    <w:rsid w:val="59AE5625"/>
    <w:rsid w:val="59B56AC6"/>
    <w:rsid w:val="59C6D9E2"/>
    <w:rsid w:val="59C8FB1D"/>
    <w:rsid w:val="59D41FD9"/>
    <w:rsid w:val="59F9F36C"/>
    <w:rsid w:val="5A2CDBC3"/>
    <w:rsid w:val="5A38683B"/>
    <w:rsid w:val="5A496F39"/>
    <w:rsid w:val="5A91D3EF"/>
    <w:rsid w:val="5A98681C"/>
    <w:rsid w:val="5A98A614"/>
    <w:rsid w:val="5A9CE86E"/>
    <w:rsid w:val="5AA98915"/>
    <w:rsid w:val="5B061F8A"/>
    <w:rsid w:val="5B1901EB"/>
    <w:rsid w:val="5B5A30F4"/>
    <w:rsid w:val="5B759382"/>
    <w:rsid w:val="5B82BF84"/>
    <w:rsid w:val="5BA3DB78"/>
    <w:rsid w:val="5BA83483"/>
    <w:rsid w:val="5BB048A6"/>
    <w:rsid w:val="5C3C15D4"/>
    <w:rsid w:val="5C68E610"/>
    <w:rsid w:val="5C73DBA6"/>
    <w:rsid w:val="5C80CDDE"/>
    <w:rsid w:val="5CD7D34B"/>
    <w:rsid w:val="5CF09BE0"/>
    <w:rsid w:val="5D0377C1"/>
    <w:rsid w:val="5D091F19"/>
    <w:rsid w:val="5D3E1281"/>
    <w:rsid w:val="5D55FA3C"/>
    <w:rsid w:val="5D910E96"/>
    <w:rsid w:val="5D936FFF"/>
    <w:rsid w:val="5DC4E3D2"/>
    <w:rsid w:val="5DD9C70A"/>
    <w:rsid w:val="5DED11B5"/>
    <w:rsid w:val="5DFBA14D"/>
    <w:rsid w:val="5E024570"/>
    <w:rsid w:val="5E5E8232"/>
    <w:rsid w:val="5E6D05BA"/>
    <w:rsid w:val="5E74DDE7"/>
    <w:rsid w:val="5EAC02B5"/>
    <w:rsid w:val="5EBCA8D0"/>
    <w:rsid w:val="5EDBD170"/>
    <w:rsid w:val="5EEFB89B"/>
    <w:rsid w:val="5EFD79C1"/>
    <w:rsid w:val="5F0577D9"/>
    <w:rsid w:val="5F3AE941"/>
    <w:rsid w:val="5F3FBB30"/>
    <w:rsid w:val="5F44EB71"/>
    <w:rsid w:val="5F8671DB"/>
    <w:rsid w:val="5F8E4C8B"/>
    <w:rsid w:val="5FDB2077"/>
    <w:rsid w:val="5FDFF11E"/>
    <w:rsid w:val="5FEBDA66"/>
    <w:rsid w:val="600318FD"/>
    <w:rsid w:val="604B35A4"/>
    <w:rsid w:val="60563276"/>
    <w:rsid w:val="605F2C07"/>
    <w:rsid w:val="606176B9"/>
    <w:rsid w:val="606870BB"/>
    <w:rsid w:val="607FE54B"/>
    <w:rsid w:val="608FA5A5"/>
    <w:rsid w:val="60B553E2"/>
    <w:rsid w:val="60BAE3B1"/>
    <w:rsid w:val="60C1E3D8"/>
    <w:rsid w:val="61386503"/>
    <w:rsid w:val="6141B618"/>
    <w:rsid w:val="61521251"/>
    <w:rsid w:val="615950C2"/>
    <w:rsid w:val="617AA10A"/>
    <w:rsid w:val="61ABC717"/>
    <w:rsid w:val="61B01D8F"/>
    <w:rsid w:val="61CE289F"/>
    <w:rsid w:val="61E7FDCA"/>
    <w:rsid w:val="620D7043"/>
    <w:rsid w:val="620FD82E"/>
    <w:rsid w:val="6248F1F9"/>
    <w:rsid w:val="6262BEB9"/>
    <w:rsid w:val="6264DBFB"/>
    <w:rsid w:val="626E2C0C"/>
    <w:rsid w:val="62F480DC"/>
    <w:rsid w:val="630B8196"/>
    <w:rsid w:val="6361ADFF"/>
    <w:rsid w:val="6373E2CF"/>
    <w:rsid w:val="63A0E6E7"/>
    <w:rsid w:val="63E44B14"/>
    <w:rsid w:val="63F42321"/>
    <w:rsid w:val="64293502"/>
    <w:rsid w:val="64332E5D"/>
    <w:rsid w:val="64335461"/>
    <w:rsid w:val="64478AE2"/>
    <w:rsid w:val="64BB2F17"/>
    <w:rsid w:val="64BBC3FD"/>
    <w:rsid w:val="64C17E27"/>
    <w:rsid w:val="64C1B9BF"/>
    <w:rsid w:val="64EEC2B0"/>
    <w:rsid w:val="65015E14"/>
    <w:rsid w:val="65045D0D"/>
    <w:rsid w:val="653420B7"/>
    <w:rsid w:val="65487ADA"/>
    <w:rsid w:val="659E8D03"/>
    <w:rsid w:val="65E5A67C"/>
    <w:rsid w:val="65E9EA7E"/>
    <w:rsid w:val="66000DB6"/>
    <w:rsid w:val="663C834D"/>
    <w:rsid w:val="66541688"/>
    <w:rsid w:val="66601825"/>
    <w:rsid w:val="6665DB24"/>
    <w:rsid w:val="666AE913"/>
    <w:rsid w:val="667DBACE"/>
    <w:rsid w:val="66875ABD"/>
    <w:rsid w:val="66962891"/>
    <w:rsid w:val="669E94EF"/>
    <w:rsid w:val="66BCE4CF"/>
    <w:rsid w:val="66C97652"/>
    <w:rsid w:val="66EC8831"/>
    <w:rsid w:val="66F84810"/>
    <w:rsid w:val="66FA0F4E"/>
    <w:rsid w:val="66FFDF2F"/>
    <w:rsid w:val="675FEDAD"/>
    <w:rsid w:val="676E3D82"/>
    <w:rsid w:val="67BD4253"/>
    <w:rsid w:val="680E2F69"/>
    <w:rsid w:val="6816CAA6"/>
    <w:rsid w:val="681E55E9"/>
    <w:rsid w:val="682B87DE"/>
    <w:rsid w:val="685C346E"/>
    <w:rsid w:val="685F7AC5"/>
    <w:rsid w:val="68618BA3"/>
    <w:rsid w:val="689B5611"/>
    <w:rsid w:val="689BA0C3"/>
    <w:rsid w:val="689C2914"/>
    <w:rsid w:val="68A2A104"/>
    <w:rsid w:val="68E25058"/>
    <w:rsid w:val="68E3DB3F"/>
    <w:rsid w:val="68F622A3"/>
    <w:rsid w:val="68FD5607"/>
    <w:rsid w:val="69226C6D"/>
    <w:rsid w:val="6924523D"/>
    <w:rsid w:val="69302BE8"/>
    <w:rsid w:val="6958D9C4"/>
    <w:rsid w:val="696AB805"/>
    <w:rsid w:val="696BD278"/>
    <w:rsid w:val="6993AACB"/>
    <w:rsid w:val="69D2C8F4"/>
    <w:rsid w:val="69DC06D6"/>
    <w:rsid w:val="69E8C762"/>
    <w:rsid w:val="69EA2D4C"/>
    <w:rsid w:val="6A0E958F"/>
    <w:rsid w:val="6A445683"/>
    <w:rsid w:val="6A5F8F64"/>
    <w:rsid w:val="6A88AE6A"/>
    <w:rsid w:val="6A96E490"/>
    <w:rsid w:val="6AA2A89E"/>
    <w:rsid w:val="6AB643CD"/>
    <w:rsid w:val="6AD4F852"/>
    <w:rsid w:val="6AE0327D"/>
    <w:rsid w:val="6AFFC74A"/>
    <w:rsid w:val="6B2B8470"/>
    <w:rsid w:val="6B4905A5"/>
    <w:rsid w:val="6B504BA9"/>
    <w:rsid w:val="6B5CBE96"/>
    <w:rsid w:val="6B636255"/>
    <w:rsid w:val="6B6F60A6"/>
    <w:rsid w:val="6BB1A70F"/>
    <w:rsid w:val="6BD5E3B7"/>
    <w:rsid w:val="6BF3E3B9"/>
    <w:rsid w:val="6BF981B9"/>
    <w:rsid w:val="6C05C980"/>
    <w:rsid w:val="6C1E77A9"/>
    <w:rsid w:val="6C2F79F8"/>
    <w:rsid w:val="6C3AE77A"/>
    <w:rsid w:val="6CAA0D92"/>
    <w:rsid w:val="6CFEF9D6"/>
    <w:rsid w:val="6D017EC6"/>
    <w:rsid w:val="6D1A51D8"/>
    <w:rsid w:val="6D75FCF4"/>
    <w:rsid w:val="6D86A214"/>
    <w:rsid w:val="6DDD7BFE"/>
    <w:rsid w:val="6E00588F"/>
    <w:rsid w:val="6E397833"/>
    <w:rsid w:val="6E522DB1"/>
    <w:rsid w:val="6E8C8CB0"/>
    <w:rsid w:val="6E9F822D"/>
    <w:rsid w:val="6EA3FF50"/>
    <w:rsid w:val="6EE7C53D"/>
    <w:rsid w:val="6F2D0D69"/>
    <w:rsid w:val="6F53793B"/>
    <w:rsid w:val="6F5DA3FF"/>
    <w:rsid w:val="6FAB5F00"/>
    <w:rsid w:val="6FD85126"/>
    <w:rsid w:val="6FDFE886"/>
    <w:rsid w:val="7021C808"/>
    <w:rsid w:val="702AF116"/>
    <w:rsid w:val="703B788D"/>
    <w:rsid w:val="7044E4B9"/>
    <w:rsid w:val="705903BF"/>
    <w:rsid w:val="7072BFFC"/>
    <w:rsid w:val="70B23C9A"/>
    <w:rsid w:val="70C7C324"/>
    <w:rsid w:val="70D1DF19"/>
    <w:rsid w:val="70D80813"/>
    <w:rsid w:val="70FFE8A4"/>
    <w:rsid w:val="710FE458"/>
    <w:rsid w:val="71106850"/>
    <w:rsid w:val="71214492"/>
    <w:rsid w:val="712E273B"/>
    <w:rsid w:val="71735095"/>
    <w:rsid w:val="71855ECB"/>
    <w:rsid w:val="71AC451C"/>
    <w:rsid w:val="71E4ABDD"/>
    <w:rsid w:val="723C05F1"/>
    <w:rsid w:val="726E4472"/>
    <w:rsid w:val="729DE36A"/>
    <w:rsid w:val="72BCD18B"/>
    <w:rsid w:val="72F03D64"/>
    <w:rsid w:val="730F1994"/>
    <w:rsid w:val="7310E9B9"/>
    <w:rsid w:val="734498A4"/>
    <w:rsid w:val="7350194B"/>
    <w:rsid w:val="73C47B24"/>
    <w:rsid w:val="73D86A2A"/>
    <w:rsid w:val="7411A6A0"/>
    <w:rsid w:val="74185C0A"/>
    <w:rsid w:val="741BDC17"/>
    <w:rsid w:val="742E0035"/>
    <w:rsid w:val="744D9391"/>
    <w:rsid w:val="74543829"/>
    <w:rsid w:val="746B3236"/>
    <w:rsid w:val="746BFD25"/>
    <w:rsid w:val="74784771"/>
    <w:rsid w:val="748B6340"/>
    <w:rsid w:val="748D9098"/>
    <w:rsid w:val="74944C96"/>
    <w:rsid w:val="74960188"/>
    <w:rsid w:val="74A27834"/>
    <w:rsid w:val="750D623A"/>
    <w:rsid w:val="752226ED"/>
    <w:rsid w:val="7527BF12"/>
    <w:rsid w:val="7591A895"/>
    <w:rsid w:val="7598C722"/>
    <w:rsid w:val="760363D2"/>
    <w:rsid w:val="760D9754"/>
    <w:rsid w:val="7619EA1C"/>
    <w:rsid w:val="7657BBD4"/>
    <w:rsid w:val="7662A06A"/>
    <w:rsid w:val="7667FB03"/>
    <w:rsid w:val="7673AD6B"/>
    <w:rsid w:val="76845930"/>
    <w:rsid w:val="769CC7DC"/>
    <w:rsid w:val="76B405BC"/>
    <w:rsid w:val="7709DD5E"/>
    <w:rsid w:val="77146CFE"/>
    <w:rsid w:val="771BB112"/>
    <w:rsid w:val="77248640"/>
    <w:rsid w:val="7730796A"/>
    <w:rsid w:val="77B319DE"/>
    <w:rsid w:val="77EA8B2D"/>
    <w:rsid w:val="781F5EE3"/>
    <w:rsid w:val="78272867"/>
    <w:rsid w:val="784A0943"/>
    <w:rsid w:val="785369B1"/>
    <w:rsid w:val="7858158E"/>
    <w:rsid w:val="78CD332F"/>
    <w:rsid w:val="79141417"/>
    <w:rsid w:val="7918443F"/>
    <w:rsid w:val="793140E1"/>
    <w:rsid w:val="7931C722"/>
    <w:rsid w:val="7939695D"/>
    <w:rsid w:val="795A6A18"/>
    <w:rsid w:val="79853732"/>
    <w:rsid w:val="79D058ED"/>
    <w:rsid w:val="79DDC0C3"/>
    <w:rsid w:val="79F2A7C2"/>
    <w:rsid w:val="7A241661"/>
    <w:rsid w:val="7A61D8CA"/>
    <w:rsid w:val="7A6540E3"/>
    <w:rsid w:val="7A893BA8"/>
    <w:rsid w:val="7A8CEB79"/>
    <w:rsid w:val="7A970F27"/>
    <w:rsid w:val="7ADE1206"/>
    <w:rsid w:val="7AFA3B4C"/>
    <w:rsid w:val="7B023482"/>
    <w:rsid w:val="7B11D2B9"/>
    <w:rsid w:val="7B27DE68"/>
    <w:rsid w:val="7B43D1E6"/>
    <w:rsid w:val="7B65ADEF"/>
    <w:rsid w:val="7B79C4DE"/>
    <w:rsid w:val="7B8E942A"/>
    <w:rsid w:val="7B94A83E"/>
    <w:rsid w:val="7BCB6FEE"/>
    <w:rsid w:val="7BE57A42"/>
    <w:rsid w:val="7BEFD274"/>
    <w:rsid w:val="7BF9F968"/>
    <w:rsid w:val="7C14BA2B"/>
    <w:rsid w:val="7C36AE2B"/>
    <w:rsid w:val="7C5B095F"/>
    <w:rsid w:val="7C6E3197"/>
    <w:rsid w:val="7C832AF0"/>
    <w:rsid w:val="7C9F2621"/>
    <w:rsid w:val="7CA91A58"/>
    <w:rsid w:val="7CED5FB3"/>
    <w:rsid w:val="7CFE69CC"/>
    <w:rsid w:val="7D0C2063"/>
    <w:rsid w:val="7D2FD1D4"/>
    <w:rsid w:val="7D6F07F9"/>
    <w:rsid w:val="7D763D43"/>
    <w:rsid w:val="7D7FDAAA"/>
    <w:rsid w:val="7DCE817B"/>
    <w:rsid w:val="7DE40EEA"/>
    <w:rsid w:val="7DFA253A"/>
    <w:rsid w:val="7E0E4303"/>
    <w:rsid w:val="7E49BFAE"/>
    <w:rsid w:val="7E5213E6"/>
    <w:rsid w:val="7E5429DF"/>
    <w:rsid w:val="7EAAFB92"/>
    <w:rsid w:val="7EB8325C"/>
    <w:rsid w:val="7EEC6B49"/>
    <w:rsid w:val="7F3861DF"/>
    <w:rsid w:val="7F45EA33"/>
    <w:rsid w:val="7F5E36E4"/>
    <w:rsid w:val="7F7583F6"/>
    <w:rsid w:val="7F908B1F"/>
    <w:rsid w:val="7F975DAF"/>
    <w:rsid w:val="7F9EFBF5"/>
    <w:rsid w:val="7FBD481D"/>
    <w:rsid w:val="7FDC54C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contextualSpacing/>
    </w:pPr>
    <w:rPr>
      <w:rFonts w:asciiTheme="minorHAnsi" w:hAnsiTheme="minorHAnsi" w:eastAsiaTheme="minorEastAsia" w:cstheme="minorBidi"/>
      <w:sz w:val="22"/>
      <w:szCs w:val="22"/>
      <w:lang w:val="en-US" w:eastAsia="en-US" w:bidi="ar-SA"/>
    </w:rPr>
  </w:style>
  <w:style w:type="paragraph" w:styleId="2">
    <w:name w:val="heading 1"/>
    <w:basedOn w:val="1"/>
    <w:next w:val="1"/>
    <w:link w:val="34"/>
    <w:qFormat/>
    <w:uiPriority w:val="9"/>
    <w:pPr>
      <w:keepNext/>
      <w:keepLines/>
      <w:pBdr>
        <w:top w:val="single" w:color="auto" w:sz="4" w:space="1"/>
      </w:pBdr>
      <w:spacing w:before="240"/>
      <w:outlineLvl w:val="0"/>
    </w:pPr>
    <w:rPr>
      <w:rFonts w:asciiTheme="majorHAnsi" w:hAnsiTheme="majorHAnsi" w:eastAsiaTheme="majorEastAsia" w:cstheme="majorBidi"/>
      <w:b/>
      <w:smallCaps/>
      <w:color w:val="262626" w:themeColor="text1" w:themeTint="D9"/>
      <w:sz w:val="28"/>
      <w:szCs w:val="32"/>
      <w14:textFill>
        <w14:solidFill>
          <w14:schemeClr w14:val="tx1">
            <w14:lumMod w14:val="85000"/>
            <w14:lumOff w14:val="15000"/>
          </w14:schemeClr>
        </w14:solidFill>
      </w14:textFill>
    </w:rPr>
  </w:style>
  <w:style w:type="paragraph" w:styleId="3">
    <w:name w:val="heading 2"/>
    <w:basedOn w:val="1"/>
    <w:next w:val="1"/>
    <w:link w:val="35"/>
    <w:autoRedefine/>
    <w:unhideWhenUsed/>
    <w:qFormat/>
    <w:uiPriority w:val="9"/>
    <w:pPr>
      <w:keepNext/>
      <w:keepLines/>
      <w:spacing w:before="40"/>
      <w:outlineLvl w:val="1"/>
    </w:pPr>
    <w:rPr>
      <w:rFonts w:asciiTheme="majorHAnsi" w:hAnsiTheme="majorHAnsi" w:eastAsiaTheme="majorEastAsia" w:cstheme="majorBidi"/>
      <w:b/>
      <w:color w:val="262626" w:themeColor="text1" w:themeTint="D9"/>
      <w:sz w:val="24"/>
      <w:szCs w:val="24"/>
      <w14:textFill>
        <w14:solidFill>
          <w14:schemeClr w14:val="tx1">
            <w14:lumMod w14:val="85000"/>
            <w14:lumOff w14:val="15000"/>
          </w14:schemeClr>
        </w14:solidFill>
      </w14:textFill>
    </w:rPr>
  </w:style>
  <w:style w:type="paragraph" w:styleId="4">
    <w:name w:val="heading 3"/>
    <w:basedOn w:val="1"/>
    <w:next w:val="1"/>
    <w:link w:val="36"/>
    <w:autoRedefine/>
    <w:unhideWhenUsed/>
    <w:qFormat/>
    <w:uiPriority w:val="9"/>
    <w:pPr>
      <w:keepNext/>
      <w:keepLines/>
      <w:numPr>
        <w:ilvl w:val="0"/>
        <w:numId w:val="1"/>
      </w:numPr>
      <w:spacing w:before="40"/>
      <w:outlineLvl w:val="2"/>
    </w:pPr>
    <w:rPr>
      <w:rFonts w:asciiTheme="majorHAnsi" w:hAnsiTheme="majorHAnsi" w:eastAsiaTheme="majorEastAsia" w:cstheme="majorBidi"/>
      <w:b/>
      <w:color w:val="0D0D0D" w:themeColor="text1" w:themeTint="F2"/>
      <w:szCs w:val="24"/>
      <w:lang w:val="en-GB"/>
      <w14:textFill>
        <w14:solidFill>
          <w14:schemeClr w14:val="tx1">
            <w14:lumMod w14:val="95000"/>
            <w14:lumOff w14:val="5000"/>
          </w14:schemeClr>
        </w14:solidFill>
      </w14:textFill>
    </w:rPr>
  </w:style>
  <w:style w:type="paragraph" w:styleId="5">
    <w:name w:val="heading 4"/>
    <w:basedOn w:val="1"/>
    <w:next w:val="1"/>
    <w:link w:val="37"/>
    <w:autoRedefine/>
    <w:unhideWhenUsed/>
    <w:qFormat/>
    <w:uiPriority w:val="9"/>
    <w:pPr>
      <w:keepNext/>
      <w:keepLines/>
      <w:numPr>
        <w:ilvl w:val="0"/>
        <w:numId w:val="2"/>
      </w:numPr>
      <w:spacing w:before="40"/>
      <w:ind w:hanging="360"/>
      <w:outlineLvl w:val="3"/>
    </w:pPr>
    <w:rPr>
      <w:rFonts w:asciiTheme="majorHAnsi" w:hAnsiTheme="majorHAnsi" w:eastAsiaTheme="majorEastAsia" w:cstheme="majorBidi"/>
      <w:i/>
      <w:iCs/>
      <w:color w:val="404040" w:themeColor="text1" w:themeTint="BF"/>
      <w:lang w:val="en-GB"/>
      <w14:textFill>
        <w14:solidFill>
          <w14:schemeClr w14:val="tx1">
            <w14:lumMod w14:val="75000"/>
            <w14:lumOff w14:val="25000"/>
          </w14:schemeClr>
        </w14:solidFill>
      </w14:textFill>
    </w:rPr>
  </w:style>
  <w:style w:type="paragraph" w:styleId="6">
    <w:name w:val="heading 5"/>
    <w:basedOn w:val="1"/>
    <w:next w:val="1"/>
    <w:link w:val="38"/>
    <w:semiHidden/>
    <w:unhideWhenUsed/>
    <w:qFormat/>
    <w:uiPriority w:val="9"/>
    <w:pPr>
      <w:keepNext/>
      <w:keepLines/>
      <w:spacing w:before="40"/>
      <w:outlineLvl w:val="4"/>
    </w:pPr>
    <w:rPr>
      <w:rFonts w:asciiTheme="majorHAnsi" w:hAnsiTheme="majorHAnsi" w:eastAsiaTheme="majorEastAsia" w:cstheme="majorBidi"/>
      <w:color w:val="404040" w:themeColor="text1" w:themeTint="BF"/>
      <w14:textFill>
        <w14:solidFill>
          <w14:schemeClr w14:val="tx1">
            <w14:lumMod w14:val="75000"/>
            <w14:lumOff w14:val="25000"/>
          </w14:schemeClr>
        </w14:solidFill>
      </w14:textFill>
    </w:rPr>
  </w:style>
  <w:style w:type="paragraph" w:styleId="7">
    <w:name w:val="heading 6"/>
    <w:basedOn w:val="1"/>
    <w:next w:val="1"/>
    <w:link w:val="39"/>
    <w:semiHidden/>
    <w:unhideWhenUsed/>
    <w:qFormat/>
    <w:uiPriority w:val="9"/>
    <w:pPr>
      <w:keepNext/>
      <w:keepLines/>
      <w:spacing w:before="40"/>
      <w:outlineLvl w:val="5"/>
    </w:pPr>
    <w:rPr>
      <w:rFonts w:asciiTheme="majorHAnsi" w:hAnsiTheme="majorHAnsi" w:eastAsiaTheme="majorEastAsia" w:cstheme="majorBidi"/>
    </w:rPr>
  </w:style>
  <w:style w:type="paragraph" w:styleId="8">
    <w:name w:val="heading 7"/>
    <w:basedOn w:val="1"/>
    <w:next w:val="1"/>
    <w:link w:val="40"/>
    <w:semiHidden/>
    <w:unhideWhenUsed/>
    <w:qFormat/>
    <w:uiPriority w:val="9"/>
    <w:pPr>
      <w:keepNext/>
      <w:keepLines/>
      <w:spacing w:before="40"/>
      <w:outlineLvl w:val="6"/>
    </w:pPr>
    <w:rPr>
      <w:rFonts w:asciiTheme="majorHAnsi" w:hAnsiTheme="majorHAnsi" w:eastAsiaTheme="majorEastAsia" w:cstheme="majorBidi"/>
      <w:i/>
      <w:iCs/>
    </w:rPr>
  </w:style>
  <w:style w:type="paragraph" w:styleId="9">
    <w:name w:val="heading 8"/>
    <w:basedOn w:val="1"/>
    <w:next w:val="1"/>
    <w:link w:val="41"/>
    <w:semiHidden/>
    <w:unhideWhenUsed/>
    <w:qFormat/>
    <w:uiPriority w:val="9"/>
    <w:pPr>
      <w:keepNext/>
      <w:keepLines/>
      <w:spacing w:before="40"/>
      <w:outlineLvl w:val="7"/>
    </w:pPr>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paragraph" w:styleId="10">
    <w:name w:val="heading 9"/>
    <w:basedOn w:val="1"/>
    <w:next w:val="1"/>
    <w:link w:val="42"/>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26">
    <w:name w:val="Default Paragraph Font"/>
    <w:semiHidden/>
    <w:unhideWhenUsed/>
    <w:uiPriority w:val="1"/>
  </w:style>
  <w:style w:type="table" w:default="1" w:styleId="24">
    <w:name w:val="Normal Table"/>
    <w:semiHidden/>
    <w:unhideWhenUsed/>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after="200"/>
    </w:pPr>
    <w:rPr>
      <w:i/>
      <w:iCs/>
      <w:color w:val="44546A" w:themeColor="text2"/>
      <w:sz w:val="18"/>
      <w:szCs w:val="18"/>
      <w14:textFill>
        <w14:solidFill>
          <w14:schemeClr w14:val="tx2"/>
        </w14:solidFill>
      </w14:textFill>
    </w:rPr>
  </w:style>
  <w:style w:type="paragraph" w:styleId="12">
    <w:name w:val="annotation text"/>
    <w:basedOn w:val="1"/>
    <w:link w:val="61"/>
    <w:unhideWhenUsed/>
    <w:uiPriority w:val="99"/>
    <w:rPr>
      <w:sz w:val="20"/>
      <w:szCs w:val="20"/>
    </w:rPr>
  </w:style>
  <w:style w:type="paragraph" w:styleId="13">
    <w:name w:val="toc 3"/>
    <w:basedOn w:val="1"/>
    <w:next w:val="1"/>
    <w:autoRedefine/>
    <w:unhideWhenUsed/>
    <w:uiPriority w:val="39"/>
    <w:pPr>
      <w:spacing w:after="100"/>
      <w:ind w:left="440"/>
    </w:pPr>
  </w:style>
  <w:style w:type="paragraph" w:styleId="14">
    <w:name w:val="Balloon Text"/>
    <w:basedOn w:val="1"/>
    <w:link w:val="60"/>
    <w:semiHidden/>
    <w:unhideWhenUsed/>
    <w:uiPriority w:val="99"/>
    <w:rPr>
      <w:rFonts w:ascii="Segoe UI" w:hAnsi="Segoe UI" w:cs="Segoe UI"/>
      <w:sz w:val="18"/>
      <w:szCs w:val="18"/>
    </w:rPr>
  </w:style>
  <w:style w:type="paragraph" w:styleId="15">
    <w:name w:val="footer"/>
    <w:basedOn w:val="1"/>
    <w:link w:val="59"/>
    <w:unhideWhenUsed/>
    <w:uiPriority w:val="99"/>
    <w:pPr>
      <w:tabs>
        <w:tab w:val="center" w:pos="4680"/>
        <w:tab w:val="right" w:pos="9360"/>
      </w:tabs>
    </w:pPr>
  </w:style>
  <w:style w:type="paragraph" w:styleId="16">
    <w:name w:val="header"/>
    <w:basedOn w:val="1"/>
    <w:link w:val="58"/>
    <w:unhideWhenUsed/>
    <w:uiPriority w:val="99"/>
    <w:pPr>
      <w:tabs>
        <w:tab w:val="center" w:pos="4680"/>
        <w:tab w:val="right" w:pos="9360"/>
      </w:tabs>
    </w:pPr>
  </w:style>
  <w:style w:type="paragraph" w:styleId="17">
    <w:name w:val="toc 1"/>
    <w:basedOn w:val="1"/>
    <w:next w:val="1"/>
    <w:autoRedefine/>
    <w:unhideWhenUsed/>
    <w:uiPriority w:val="39"/>
    <w:pPr>
      <w:tabs>
        <w:tab w:val="left" w:pos="360"/>
        <w:tab w:val="right" w:leader="dot" w:pos="9350"/>
      </w:tabs>
      <w:spacing w:after="100"/>
    </w:pPr>
  </w:style>
  <w:style w:type="paragraph" w:styleId="18">
    <w:name w:val="Subtitle"/>
    <w:basedOn w:val="1"/>
    <w:next w:val="1"/>
    <w:link w:val="44"/>
    <w:qFormat/>
    <w:uiPriority w:val="11"/>
    <w:rPr>
      <w:color w:val="595959" w:themeColor="text1" w:themeTint="A6"/>
      <w:spacing w:val="15"/>
      <w14:textFill>
        <w14:solidFill>
          <w14:schemeClr w14:val="tx1">
            <w14:lumMod w14:val="65000"/>
            <w14:lumOff w14:val="35000"/>
          </w14:schemeClr>
        </w14:solidFill>
      </w14:textFill>
    </w:rPr>
  </w:style>
  <w:style w:type="paragraph" w:styleId="19">
    <w:name w:val="footnote text"/>
    <w:basedOn w:val="1"/>
    <w:link w:val="63"/>
    <w:unhideWhenUsed/>
    <w:uiPriority w:val="99"/>
    <w:rPr>
      <w:sz w:val="20"/>
      <w:szCs w:val="20"/>
    </w:rPr>
  </w:style>
  <w:style w:type="paragraph" w:styleId="20">
    <w:name w:val="toc 2"/>
    <w:basedOn w:val="1"/>
    <w:next w:val="1"/>
    <w:autoRedefine/>
    <w:unhideWhenUsed/>
    <w:uiPriority w:val="39"/>
    <w:pPr>
      <w:spacing w:after="100"/>
      <w:ind w:left="220"/>
    </w:pPr>
  </w:style>
  <w:style w:type="paragraph" w:styleId="21">
    <w:name w:val="Normal (Web)"/>
    <w:basedOn w:val="1"/>
    <w:semiHidden/>
    <w:unhideWhenUsed/>
    <w:uiPriority w:val="99"/>
    <w:rPr>
      <w:rFonts w:ascii="Times New Roman" w:hAnsi="Times New Roman" w:cs="Times New Roman"/>
      <w:sz w:val="24"/>
      <w:szCs w:val="24"/>
    </w:rPr>
  </w:style>
  <w:style w:type="paragraph" w:styleId="22">
    <w:name w:val="Title"/>
    <w:basedOn w:val="1"/>
    <w:next w:val="1"/>
    <w:link w:val="43"/>
    <w:autoRedefine/>
    <w:qFormat/>
    <w:uiPriority w:val="10"/>
    <w:rPr>
      <w:rFonts w:asciiTheme="majorHAnsi" w:hAnsiTheme="majorHAnsi" w:eastAsiaTheme="majorEastAsia" w:cstheme="majorBidi"/>
      <w:spacing w:val="-10"/>
      <w:sz w:val="36"/>
      <w:szCs w:val="56"/>
    </w:rPr>
  </w:style>
  <w:style w:type="paragraph" w:styleId="23">
    <w:name w:val="annotation subject"/>
    <w:basedOn w:val="12"/>
    <w:next w:val="12"/>
    <w:link w:val="62"/>
    <w:semiHidden/>
    <w:unhideWhenUsed/>
    <w:uiPriority w:val="99"/>
    <w:rPr>
      <w:b/>
      <w:bCs/>
    </w:rPr>
  </w:style>
  <w:style w:type="table" w:styleId="25">
    <w:name w:val="Table Grid"/>
    <w:basedOn w:val="24"/>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22"/>
    <w:rPr>
      <w:b/>
      <w:bCs/>
      <w:color w:val="auto"/>
    </w:rPr>
  </w:style>
  <w:style w:type="character" w:styleId="28">
    <w:name w:val="FollowedHyperlink"/>
    <w:basedOn w:val="26"/>
    <w:semiHidden/>
    <w:unhideWhenUsed/>
    <w:uiPriority w:val="99"/>
    <w:rPr>
      <w:color w:val="954F72" w:themeColor="followedHyperlink"/>
      <w:u w:val="single"/>
      <w14:textFill>
        <w14:solidFill>
          <w14:schemeClr w14:val="folHlink"/>
        </w14:solidFill>
      </w14:textFill>
    </w:rPr>
  </w:style>
  <w:style w:type="character" w:styleId="29">
    <w:name w:val="Emphasis"/>
    <w:basedOn w:val="26"/>
    <w:qFormat/>
    <w:uiPriority w:val="20"/>
    <w:rPr>
      <w:i/>
      <w:iCs/>
      <w:color w:val="auto"/>
    </w:rPr>
  </w:style>
  <w:style w:type="character" w:styleId="30">
    <w:name w:val="Hyperlink"/>
    <w:basedOn w:val="26"/>
    <w:unhideWhenUsed/>
    <w:uiPriority w:val="99"/>
    <w:rPr>
      <w:color w:val="0000FF"/>
      <w:u w:val="single"/>
    </w:rPr>
  </w:style>
  <w:style w:type="character" w:styleId="31">
    <w:name w:val="annotation reference"/>
    <w:basedOn w:val="26"/>
    <w:semiHidden/>
    <w:unhideWhenUsed/>
    <w:uiPriority w:val="99"/>
    <w:rPr>
      <w:sz w:val="16"/>
      <w:szCs w:val="16"/>
    </w:rPr>
  </w:style>
  <w:style w:type="character" w:styleId="32">
    <w:name w:val="footnote reference"/>
    <w:basedOn w:val="26"/>
    <w:link w:val="33"/>
    <w:unhideWhenUsed/>
    <w:uiPriority w:val="99"/>
    <w:rPr>
      <w:vertAlign w:val="superscript"/>
    </w:rPr>
  </w:style>
  <w:style w:type="paragraph" w:customStyle="1" w:styleId="33">
    <w:name w:val="Char Char Char Char Car Char"/>
    <w:basedOn w:val="1"/>
    <w:link w:val="32"/>
    <w:uiPriority w:val="99"/>
    <w:pPr>
      <w:spacing w:after="160" w:line="240" w:lineRule="exact"/>
      <w:contextualSpacing w:val="0"/>
      <w:jc w:val="both"/>
    </w:pPr>
    <w:rPr>
      <w:vertAlign w:val="superscript"/>
    </w:rPr>
  </w:style>
  <w:style w:type="character" w:customStyle="1" w:styleId="34">
    <w:name w:val="Heading 1 Char"/>
    <w:basedOn w:val="26"/>
    <w:link w:val="2"/>
    <w:uiPriority w:val="9"/>
    <w:rPr>
      <w:rFonts w:asciiTheme="majorHAnsi" w:hAnsiTheme="majorHAnsi" w:eastAsiaTheme="majorEastAsia" w:cstheme="majorBidi"/>
      <w:b/>
      <w:smallCaps/>
      <w:color w:val="262626" w:themeColor="text1" w:themeTint="D9"/>
      <w:sz w:val="28"/>
      <w:szCs w:val="32"/>
      <w14:textFill>
        <w14:solidFill>
          <w14:schemeClr w14:val="tx1">
            <w14:lumMod w14:val="85000"/>
            <w14:lumOff w14:val="15000"/>
          </w14:schemeClr>
        </w14:solidFill>
      </w14:textFill>
    </w:rPr>
  </w:style>
  <w:style w:type="character" w:customStyle="1" w:styleId="35">
    <w:name w:val="Heading 2 Char"/>
    <w:basedOn w:val="26"/>
    <w:link w:val="3"/>
    <w:uiPriority w:val="9"/>
    <w:rPr>
      <w:rFonts w:asciiTheme="majorHAnsi" w:hAnsiTheme="majorHAnsi" w:eastAsiaTheme="majorEastAsia" w:cstheme="majorBidi"/>
      <w:b/>
      <w:color w:val="262626" w:themeColor="text1" w:themeTint="D9"/>
      <w:sz w:val="24"/>
      <w:szCs w:val="24"/>
      <w14:textFill>
        <w14:solidFill>
          <w14:schemeClr w14:val="tx1">
            <w14:lumMod w14:val="85000"/>
            <w14:lumOff w14:val="15000"/>
          </w14:schemeClr>
        </w14:solidFill>
      </w14:textFill>
    </w:rPr>
  </w:style>
  <w:style w:type="character" w:customStyle="1" w:styleId="36">
    <w:name w:val="Heading 3 Char"/>
    <w:basedOn w:val="26"/>
    <w:link w:val="4"/>
    <w:uiPriority w:val="9"/>
    <w:rPr>
      <w:rFonts w:asciiTheme="majorHAnsi" w:hAnsiTheme="majorHAnsi" w:eastAsiaTheme="majorEastAsia" w:cstheme="majorBidi"/>
      <w:b/>
      <w:color w:val="0D0D0D" w:themeColor="text1" w:themeTint="F2"/>
      <w:szCs w:val="24"/>
      <w:lang w:val="en-GB"/>
      <w14:textFill>
        <w14:solidFill>
          <w14:schemeClr w14:val="tx1">
            <w14:lumMod w14:val="95000"/>
            <w14:lumOff w14:val="5000"/>
          </w14:schemeClr>
        </w14:solidFill>
      </w14:textFill>
    </w:rPr>
  </w:style>
  <w:style w:type="character" w:customStyle="1" w:styleId="37">
    <w:name w:val="Heading 4 Char"/>
    <w:basedOn w:val="26"/>
    <w:link w:val="5"/>
    <w:uiPriority w:val="9"/>
    <w:rPr>
      <w:rFonts w:asciiTheme="majorHAnsi" w:hAnsiTheme="majorHAnsi" w:eastAsiaTheme="majorEastAsia" w:cstheme="majorBidi"/>
      <w:i/>
      <w:iCs/>
      <w:color w:val="404040" w:themeColor="text1" w:themeTint="BF"/>
      <w:lang w:val="en-GB"/>
      <w14:textFill>
        <w14:solidFill>
          <w14:schemeClr w14:val="tx1">
            <w14:lumMod w14:val="75000"/>
            <w14:lumOff w14:val="25000"/>
          </w14:schemeClr>
        </w14:solidFill>
      </w14:textFill>
    </w:rPr>
  </w:style>
  <w:style w:type="character" w:customStyle="1" w:styleId="38">
    <w:name w:val="Heading 5 Char"/>
    <w:basedOn w:val="26"/>
    <w:link w:val="6"/>
    <w:semiHidden/>
    <w:uiPriority w:val="9"/>
    <w:rPr>
      <w:rFonts w:asciiTheme="majorHAnsi" w:hAnsiTheme="majorHAnsi" w:eastAsiaTheme="majorEastAsia" w:cstheme="majorBidi"/>
      <w:color w:val="404040" w:themeColor="text1" w:themeTint="BF"/>
      <w14:textFill>
        <w14:solidFill>
          <w14:schemeClr w14:val="tx1">
            <w14:lumMod w14:val="75000"/>
            <w14:lumOff w14:val="25000"/>
          </w14:schemeClr>
        </w14:solidFill>
      </w14:textFill>
    </w:rPr>
  </w:style>
  <w:style w:type="character" w:customStyle="1" w:styleId="39">
    <w:name w:val="Heading 6 Char"/>
    <w:basedOn w:val="26"/>
    <w:link w:val="7"/>
    <w:semiHidden/>
    <w:uiPriority w:val="9"/>
    <w:rPr>
      <w:rFonts w:asciiTheme="majorHAnsi" w:hAnsiTheme="majorHAnsi" w:eastAsiaTheme="majorEastAsia" w:cstheme="majorBidi"/>
    </w:rPr>
  </w:style>
  <w:style w:type="character" w:customStyle="1" w:styleId="40">
    <w:name w:val="Heading 7 Char"/>
    <w:basedOn w:val="26"/>
    <w:link w:val="8"/>
    <w:semiHidden/>
    <w:uiPriority w:val="9"/>
    <w:rPr>
      <w:rFonts w:asciiTheme="majorHAnsi" w:hAnsiTheme="majorHAnsi" w:eastAsiaTheme="majorEastAsia" w:cstheme="majorBidi"/>
      <w:i/>
      <w:iCs/>
    </w:rPr>
  </w:style>
  <w:style w:type="character" w:customStyle="1" w:styleId="41">
    <w:name w:val="Heading 8 Char"/>
    <w:basedOn w:val="26"/>
    <w:link w:val="9"/>
    <w:semiHidden/>
    <w:uiPriority w:val="9"/>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character" w:customStyle="1" w:styleId="42">
    <w:name w:val="Heading 9 Char"/>
    <w:basedOn w:val="26"/>
    <w:link w:val="10"/>
    <w:semiHidden/>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43">
    <w:name w:val="Title Char"/>
    <w:basedOn w:val="26"/>
    <w:link w:val="22"/>
    <w:uiPriority w:val="10"/>
    <w:rPr>
      <w:rFonts w:asciiTheme="majorHAnsi" w:hAnsiTheme="majorHAnsi" w:eastAsiaTheme="majorEastAsia" w:cstheme="majorBidi"/>
      <w:spacing w:val="-10"/>
      <w:sz w:val="36"/>
      <w:szCs w:val="56"/>
    </w:rPr>
  </w:style>
  <w:style w:type="character" w:customStyle="1" w:styleId="44">
    <w:name w:val="Subtitle Char"/>
    <w:basedOn w:val="26"/>
    <w:link w:val="18"/>
    <w:uiPriority w:val="11"/>
    <w:rPr>
      <w:color w:val="595959" w:themeColor="text1" w:themeTint="A6"/>
      <w:spacing w:val="15"/>
      <w14:textFill>
        <w14:solidFill>
          <w14:schemeClr w14:val="tx1">
            <w14:lumMod w14:val="65000"/>
            <w14:lumOff w14:val="35000"/>
          </w14:schemeClr>
        </w14:solidFill>
      </w14:textFill>
    </w:rPr>
  </w:style>
  <w:style w:type="paragraph" w:styleId="45">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paragraph" w:styleId="46">
    <w:name w:val="Quote"/>
    <w:basedOn w:val="1"/>
    <w:next w:val="1"/>
    <w:link w:val="47"/>
    <w:qFormat/>
    <w:uiPriority w:val="29"/>
    <w:pPr>
      <w:spacing w:before="200"/>
      <w:ind w:left="864" w:right="864"/>
    </w:pPr>
    <w:rPr>
      <w:i/>
      <w:iCs/>
      <w:color w:val="404040" w:themeColor="text1" w:themeTint="BF"/>
      <w14:textFill>
        <w14:solidFill>
          <w14:schemeClr w14:val="tx1">
            <w14:lumMod w14:val="75000"/>
            <w14:lumOff w14:val="25000"/>
          </w14:schemeClr>
        </w14:solidFill>
      </w14:textFill>
    </w:rPr>
  </w:style>
  <w:style w:type="character" w:customStyle="1" w:styleId="47">
    <w:name w:val="Quote Char"/>
    <w:basedOn w:val="26"/>
    <w:link w:val="46"/>
    <w:uiPriority w:val="29"/>
    <w:rPr>
      <w:i/>
      <w:iCs/>
      <w:color w:val="404040" w:themeColor="text1" w:themeTint="BF"/>
      <w14:textFill>
        <w14:solidFill>
          <w14:schemeClr w14:val="tx1">
            <w14:lumMod w14:val="75000"/>
            <w14:lumOff w14:val="25000"/>
          </w14:schemeClr>
        </w14:solidFill>
      </w14:textFill>
    </w:rPr>
  </w:style>
  <w:style w:type="paragraph" w:styleId="48">
    <w:name w:val="Intense Quote"/>
    <w:basedOn w:val="1"/>
    <w:next w:val="1"/>
    <w:link w:val="49"/>
    <w:qFormat/>
    <w:uiPriority w:val="30"/>
    <w:pPr>
      <w:pBdr>
        <w:top w:val="single" w:color="3F3F3F" w:themeColor="text1" w:themeTint="BF" w:sz="4" w:space="10"/>
        <w:bottom w:val="single" w:color="3F3F3F" w:themeColor="text1" w:themeTint="BF" w:sz="4" w:space="10"/>
      </w:pBdr>
      <w:spacing w:before="360" w:after="3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Intense Quote Char"/>
    <w:basedOn w:val="26"/>
    <w:link w:val="48"/>
    <w:uiPriority w:val="30"/>
    <w:rPr>
      <w:i/>
      <w:iCs/>
      <w:color w:val="404040" w:themeColor="text1" w:themeTint="BF"/>
      <w14:textFill>
        <w14:solidFill>
          <w14:schemeClr w14:val="tx1">
            <w14:lumMod w14:val="75000"/>
            <w14:lumOff w14:val="25000"/>
          </w14:schemeClr>
        </w14:solidFill>
      </w14:textFill>
    </w:rPr>
  </w:style>
  <w:style w:type="character" w:customStyle="1" w:styleId="50">
    <w:name w:val="Subtle Emphasis"/>
    <w:basedOn w:val="26"/>
    <w:qFormat/>
    <w:uiPriority w:val="19"/>
    <w:rPr>
      <w:i/>
      <w:iCs/>
      <w:color w:val="404040" w:themeColor="text1" w:themeTint="BF"/>
      <w14:textFill>
        <w14:solidFill>
          <w14:schemeClr w14:val="tx1">
            <w14:lumMod w14:val="75000"/>
            <w14:lumOff w14:val="25000"/>
          </w14:schemeClr>
        </w14:solidFill>
      </w14:textFill>
    </w:rPr>
  </w:style>
  <w:style w:type="character" w:customStyle="1" w:styleId="51">
    <w:name w:val="Intense Emphasis"/>
    <w:basedOn w:val="26"/>
    <w:qFormat/>
    <w:uiPriority w:val="21"/>
    <w:rPr>
      <w:b/>
      <w:bCs/>
      <w:i/>
      <w:iCs/>
      <w:color w:val="auto"/>
    </w:rPr>
  </w:style>
  <w:style w:type="character" w:customStyle="1" w:styleId="52">
    <w:name w:val="Subtle Reference"/>
    <w:basedOn w:val="26"/>
    <w:qFormat/>
    <w:uiPriority w:val="31"/>
    <w:rPr>
      <w:smallCaps/>
      <w:color w:val="404040" w:themeColor="text1" w:themeTint="BF"/>
      <w14:textFill>
        <w14:solidFill>
          <w14:schemeClr w14:val="tx1">
            <w14:lumMod w14:val="75000"/>
            <w14:lumOff w14:val="25000"/>
          </w14:schemeClr>
        </w14:solidFill>
      </w14:textFill>
    </w:rPr>
  </w:style>
  <w:style w:type="character" w:customStyle="1" w:styleId="53">
    <w:name w:val="Intense Reference"/>
    <w:basedOn w:val="26"/>
    <w:qFormat/>
    <w:uiPriority w:val="32"/>
    <w:rPr>
      <w:b/>
      <w:bCs/>
      <w:smallCaps/>
      <w:color w:val="404040" w:themeColor="text1" w:themeTint="BF"/>
      <w:spacing w:val="5"/>
      <w14:textFill>
        <w14:solidFill>
          <w14:schemeClr w14:val="tx1">
            <w14:lumMod w14:val="75000"/>
            <w14:lumOff w14:val="25000"/>
          </w14:schemeClr>
        </w14:solidFill>
      </w14:textFill>
    </w:rPr>
  </w:style>
  <w:style w:type="character" w:customStyle="1" w:styleId="54">
    <w:name w:val="Book Title"/>
    <w:basedOn w:val="26"/>
    <w:qFormat/>
    <w:uiPriority w:val="33"/>
    <w:rPr>
      <w:b/>
      <w:bCs/>
      <w:i/>
      <w:iCs/>
      <w:spacing w:val="5"/>
    </w:rPr>
  </w:style>
  <w:style w:type="paragraph" w:customStyle="1" w:styleId="55">
    <w:name w:val="TOC Heading"/>
    <w:basedOn w:val="2"/>
    <w:next w:val="1"/>
    <w:unhideWhenUsed/>
    <w:qFormat/>
    <w:uiPriority w:val="39"/>
    <w:pPr>
      <w:outlineLvl w:val="9"/>
    </w:pPr>
  </w:style>
  <w:style w:type="paragraph" w:styleId="56">
    <w:name w:val="List Paragraph"/>
    <w:basedOn w:val="1"/>
    <w:link w:val="57"/>
    <w:qFormat/>
    <w:uiPriority w:val="34"/>
    <w:pPr>
      <w:ind w:left="720"/>
    </w:pPr>
  </w:style>
  <w:style w:type="character" w:customStyle="1" w:styleId="57">
    <w:name w:val="List Paragraph Char"/>
    <w:link w:val="56"/>
    <w:qFormat/>
    <w:uiPriority w:val="34"/>
  </w:style>
  <w:style w:type="character" w:customStyle="1" w:styleId="58">
    <w:name w:val="Header Char"/>
    <w:basedOn w:val="26"/>
    <w:link w:val="16"/>
    <w:uiPriority w:val="99"/>
  </w:style>
  <w:style w:type="character" w:customStyle="1" w:styleId="59">
    <w:name w:val="Footer Char"/>
    <w:basedOn w:val="26"/>
    <w:link w:val="15"/>
    <w:uiPriority w:val="99"/>
  </w:style>
  <w:style w:type="character" w:customStyle="1" w:styleId="60">
    <w:name w:val="Balloon Text Char"/>
    <w:basedOn w:val="26"/>
    <w:link w:val="14"/>
    <w:semiHidden/>
    <w:uiPriority w:val="99"/>
    <w:rPr>
      <w:rFonts w:ascii="Segoe UI" w:hAnsi="Segoe UI" w:cs="Segoe UI"/>
      <w:sz w:val="18"/>
      <w:szCs w:val="18"/>
    </w:rPr>
  </w:style>
  <w:style w:type="character" w:customStyle="1" w:styleId="61">
    <w:name w:val="Comment Text Char"/>
    <w:basedOn w:val="26"/>
    <w:link w:val="12"/>
    <w:uiPriority w:val="99"/>
    <w:rPr>
      <w:sz w:val="20"/>
      <w:szCs w:val="20"/>
    </w:rPr>
  </w:style>
  <w:style w:type="character" w:customStyle="1" w:styleId="62">
    <w:name w:val="Comment Subject Char"/>
    <w:basedOn w:val="61"/>
    <w:link w:val="23"/>
    <w:semiHidden/>
    <w:uiPriority w:val="99"/>
    <w:rPr>
      <w:b/>
      <w:bCs/>
      <w:sz w:val="20"/>
      <w:szCs w:val="20"/>
    </w:rPr>
  </w:style>
  <w:style w:type="character" w:customStyle="1" w:styleId="63">
    <w:name w:val="Footnote Text Char"/>
    <w:basedOn w:val="26"/>
    <w:link w:val="19"/>
    <w:uiPriority w:val="99"/>
    <w:rPr>
      <w:sz w:val="20"/>
      <w:szCs w:val="20"/>
    </w:rPr>
  </w:style>
  <w:style w:type="character" w:customStyle="1" w:styleId="64">
    <w:name w:val="Mention1"/>
    <w:basedOn w:val="26"/>
    <w:semiHidden/>
    <w:unhideWhenUsed/>
    <w:uiPriority w:val="99"/>
    <w:rPr>
      <w:color w:val="2B579A"/>
      <w:shd w:val="clear" w:color="auto" w:fill="E6E6E6"/>
    </w:rPr>
  </w:style>
  <w:style w:type="character" w:customStyle="1" w:styleId="65">
    <w:name w:val="Mention2"/>
    <w:basedOn w:val="26"/>
    <w:semiHidden/>
    <w:unhideWhenUsed/>
    <w:uiPriority w:val="99"/>
    <w:rPr>
      <w:color w:val="2B579A"/>
      <w:shd w:val="clear" w:color="auto" w:fill="E6E6E6"/>
    </w:rPr>
  </w:style>
  <w:style w:type="paragraph" w:customStyle="1" w:styleId="66">
    <w:name w:val="Revision"/>
    <w:hidden/>
    <w:semiHidden/>
    <w:uiPriority w:val="99"/>
    <w:pPr>
      <w:spacing w:after="0" w:line="240" w:lineRule="auto"/>
    </w:pPr>
    <w:rPr>
      <w:rFonts w:asciiTheme="minorHAnsi" w:hAnsiTheme="minorHAnsi" w:eastAsiaTheme="minorEastAsia" w:cstheme="minorBidi"/>
      <w:sz w:val="22"/>
      <w:szCs w:val="22"/>
      <w:lang w:val="en-US" w:eastAsia="en-US" w:bidi="ar-SA"/>
    </w:rPr>
  </w:style>
  <w:style w:type="character" w:customStyle="1" w:styleId="67">
    <w:name w:val="Unresolved Mention1"/>
    <w:basedOn w:val="26"/>
    <w:unhideWhenUsed/>
    <w:uiPriority w:val="99"/>
    <w:rPr>
      <w:color w:val="808080"/>
      <w:shd w:val="clear" w:color="auto" w:fill="E6E6E6"/>
    </w:rPr>
  </w:style>
  <w:style w:type="character" w:customStyle="1" w:styleId="68">
    <w:name w:val="Mention3"/>
    <w:basedOn w:val="26"/>
    <w:unhideWhenUsed/>
    <w:uiPriority w:val="99"/>
    <w:rPr>
      <w:color w:val="2B579A"/>
      <w:shd w:val="clear" w:color="auto" w:fill="E6E6E6"/>
    </w:rPr>
  </w:style>
  <w:style w:type="character" w:customStyle="1" w:styleId="69">
    <w:name w:val="Unresolved Mention2"/>
    <w:basedOn w:val="26"/>
    <w:unhideWhenUsed/>
    <w:uiPriority w:val="99"/>
    <w:rPr>
      <w:color w:val="605E5C"/>
      <w:shd w:val="clear" w:color="auto" w:fill="E1DFDD"/>
    </w:rPr>
  </w:style>
  <w:style w:type="character" w:customStyle="1" w:styleId="70">
    <w:name w:val="Mention4"/>
    <w:basedOn w:val="26"/>
    <w:unhideWhenUsed/>
    <w:uiPriority w:val="99"/>
    <w:rPr>
      <w:color w:val="2B579A"/>
      <w:shd w:val="clear" w:color="auto" w:fill="E1DFDD"/>
    </w:rPr>
  </w:style>
  <w:style w:type="character" w:customStyle="1" w:styleId="71">
    <w:name w:val="Unresolved Mention3"/>
    <w:basedOn w:val="26"/>
    <w:semiHidden/>
    <w:unhideWhenUsed/>
    <w:uiPriority w:val="99"/>
    <w:rPr>
      <w:color w:val="605E5C"/>
      <w:shd w:val="clear" w:color="auto" w:fill="E1DFDD"/>
    </w:rPr>
  </w:style>
  <w:style w:type="character" w:customStyle="1" w:styleId="72">
    <w:name w:val="Unresolved Mention4"/>
    <w:basedOn w:val="26"/>
    <w:semiHidden/>
    <w:unhideWhenUsed/>
    <w:uiPriority w:val="99"/>
    <w:rPr>
      <w:color w:val="605E5C"/>
      <w:shd w:val="clear" w:color="auto" w:fill="E1DFDD"/>
    </w:rPr>
  </w:style>
  <w:style w:type="character" w:customStyle="1" w:styleId="73">
    <w:name w:val="Mention"/>
    <w:basedOn w:val="26"/>
    <w:unhideWhenUsed/>
    <w:uiPriority w:val="99"/>
    <w:rPr>
      <w:color w:val="2B579A"/>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rganic">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fillRect/>
          </a:stretch>
        </a:blip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OfficeCountry xmlns="d9cf0e28-81d2-4dc7-8b10-820d80ed680d">B0398 - China - Beijing</OfficeCountry>
    <DocumentStatus xmlns="d9cf0e28-81d2-4dc7-8b10-820d80ed680d">Draft</DocumentStatus>
    <DocCoverageEndDate xmlns="d9cf0e28-81d2-4dc7-8b10-820d80ed680d">2026-06-20T04:00:00+00:00</DocCoverageEndDate>
    <TaxCatchAll xmlns="e91d5986-7c29-4ed1-8a54-b8fb378ed474" xsi:nil="true"/>
    <FunctionalArea xmlns="d9cf0e28-81d2-4dc7-8b10-820d80ed680d" xsi:nil="true"/>
    <FileNameDescription xmlns="d9cf0e28-81d2-4dc7-8b10-820d80ed680d" xsi:nil="true"/>
    <ProjectNumber xmlns="d9cf0e28-81d2-4dc7-8b10-820d80ed680d">01003701</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2025-10-20T04:00:00+00:00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C14241F2-FA8F-4178-B428-9E8F40251FED}">
  <ds:schemaRefs/>
</ds:datastoreItem>
</file>

<file path=customXml/itemProps2.xml><?xml version="1.0" encoding="utf-8"?>
<ds:datastoreItem xmlns:ds="http://schemas.openxmlformats.org/officeDocument/2006/customXml" ds:itemID="{FC7D183A-44D1-4F2B-85D0-A47BBC802EC2}"/>
</file>

<file path=customXml/itemProps3.xml><?xml version="1.0" encoding="utf-8"?>
<ds:datastoreItem xmlns:ds="http://schemas.openxmlformats.org/officeDocument/2006/customXml" ds:itemID="{130F4122-F371-4A61-967A-C281CF1F9392}"/>
</file>

<file path=customXml/itemProps4.xml><?xml version="1.0" encoding="utf-8"?>
<ds:datastoreItem xmlns:ds="http://schemas.openxmlformats.org/officeDocument/2006/customXml" ds:itemID="{F5F6ECFE-EFD3-4776-BFD1-D625F1BA150C}">
  <ds:schemaRefs/>
</ds:datastoreItem>
</file>

<file path=docProps/app.xml><?xml version="1.0" encoding="utf-8"?>
<Properties xmlns="http://schemas.openxmlformats.org/officeDocument/2006/extended-properties" xmlns:vt="http://schemas.openxmlformats.org/officeDocument/2006/docPropsVTypes">
  <Template>Normal</Template>
  <Pages>35</Pages>
  <Words>11412</Words>
  <Characters>65051</Characters>
  <Lines>542</Lines>
  <Paragraphs>152</Paragraphs>
  <TotalTime>3</TotalTime>
  <ScaleCrop>false</ScaleCrop>
  <LinksUpToDate>false</LinksUpToDate>
  <CharactersWithSpaces>76311</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Jessie Mee</dc:creator>
  <cp:lastModifiedBy>chenxi☄</cp:lastModifiedBy>
  <cp:revision>2</cp:revision>
  <cp:lastPrinted>2024-11-21T11:01:00Z</cp:lastPrinted>
  <dcterms:created xsi:type="dcterms:W3CDTF">2025-01-22T16:33:00Z</dcterms:created>
  <dcterms:modified xsi:type="dcterms:W3CDTF">2025-03-26T11:28:59Z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a4e22846-fd30-439c-8d0e-5582b8ce208d</vt:lpwstr>
  </property>
  <property fmtid="{D5CDD505-2E9C-101B-9397-08002B2CF9AE}" pid="4" name="POPPBusinessProcess">
    <vt:lpwstr/>
  </property>
  <property fmtid="{D5CDD505-2E9C-101B-9397-08002B2CF9AE}" pid="5" name="UNDP_POPP_BUSINESSUNIT">
    <vt:lpwstr>669;#Programme and Project Management|1c019435-9793-447e-8959-0b32d23bf3d5</vt:lpwstr>
  </property>
  <property fmtid="{D5CDD505-2E9C-101B-9397-08002B2CF9AE}" pid="6" name="GrammarlyDocumentId">
    <vt:lpwstr>1267b1826800d24dcc7c88463f0439f4cdd42065f962dbd25188a83b72c0757d</vt:lpwstr>
  </property>
  <property fmtid="{D5CDD505-2E9C-101B-9397-08002B2CF9AE}" pid="7" name="KSOProductBuildVer">
    <vt:lpwstr>2052-7.2.2.8955</vt:lpwstr>
  </property>
  <property fmtid="{D5CDD505-2E9C-101B-9397-08002B2CF9AE}" pid="8" name="ICV">
    <vt:lpwstr>756D789F125164097B74E367296A8CCD_42</vt:lpwstr>
  </property>
</Properties>
</file>